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BD" w:rsidRPr="00B837A0" w:rsidRDefault="00B969BD" w:rsidP="00B969BD">
      <w:pPr>
        <w:rPr>
          <w:rFonts w:eastAsia="Calibri"/>
          <w:sz w:val="20"/>
          <w:szCs w:val="20"/>
        </w:rPr>
      </w:pPr>
      <w:bookmarkStart w:id="0" w:name="_GoBack"/>
      <w:bookmarkEnd w:id="0"/>
    </w:p>
    <w:p w:rsidR="00B837A0" w:rsidRPr="00B837A0" w:rsidRDefault="00B837A0" w:rsidP="00B969BD">
      <w:pPr>
        <w:rPr>
          <w:rFonts w:eastAsia="Calibri"/>
          <w:sz w:val="20"/>
          <w:szCs w:val="20"/>
        </w:rPr>
      </w:pPr>
    </w:p>
    <w:p w:rsidR="00B837A0" w:rsidRPr="00B837A0" w:rsidRDefault="00B837A0" w:rsidP="00B969BD">
      <w:pPr>
        <w:rPr>
          <w:rFonts w:eastAsia="Calibri"/>
          <w:sz w:val="20"/>
          <w:szCs w:val="20"/>
        </w:rPr>
      </w:pPr>
    </w:p>
    <w:p w:rsidR="00B969BD" w:rsidRPr="00B837A0" w:rsidRDefault="00E13182" w:rsidP="00B969BD">
      <w:pPr>
        <w:rPr>
          <w:rFonts w:eastAsia="Calibri"/>
          <w:sz w:val="20"/>
          <w:szCs w:val="20"/>
        </w:rPr>
      </w:pPr>
      <w:r>
        <w:rPr>
          <w:rFonts w:eastAsia="Calibri"/>
          <w:sz w:val="20"/>
          <w:szCs w:val="20"/>
        </w:rPr>
        <w:t xml:space="preserve">April </w:t>
      </w:r>
      <w:r w:rsidR="00F230F9">
        <w:rPr>
          <w:rFonts w:eastAsia="Calibri"/>
          <w:sz w:val="20"/>
          <w:szCs w:val="20"/>
        </w:rPr>
        <w:t>10</w:t>
      </w:r>
      <w:r w:rsidR="00B969BD" w:rsidRPr="00B837A0">
        <w:rPr>
          <w:rFonts w:eastAsia="Calibri"/>
          <w:sz w:val="20"/>
          <w:szCs w:val="20"/>
        </w:rPr>
        <w:t>, 2012</w:t>
      </w:r>
    </w:p>
    <w:p w:rsidR="00B969BD" w:rsidRPr="00B837A0" w:rsidRDefault="00B969BD" w:rsidP="00B969BD">
      <w:pPr>
        <w:rPr>
          <w:rFonts w:eastAsia="Calibri"/>
          <w:sz w:val="20"/>
          <w:szCs w:val="20"/>
        </w:rPr>
      </w:pPr>
    </w:p>
    <w:p w:rsidR="00B969BD" w:rsidRPr="00B837A0" w:rsidRDefault="00B969BD" w:rsidP="00B969BD">
      <w:pPr>
        <w:rPr>
          <w:rFonts w:eastAsia="Calibri"/>
          <w:sz w:val="20"/>
          <w:szCs w:val="20"/>
        </w:rPr>
      </w:pPr>
      <w:r w:rsidRPr="00B837A0">
        <w:rPr>
          <w:rFonts w:eastAsia="Calibri"/>
          <w:sz w:val="20"/>
          <w:szCs w:val="20"/>
        </w:rPr>
        <w:t>Ms. Jennifer Jessup</w:t>
      </w:r>
    </w:p>
    <w:p w:rsidR="00B969BD" w:rsidRPr="00B837A0" w:rsidRDefault="00B969BD" w:rsidP="00B969BD">
      <w:pPr>
        <w:rPr>
          <w:rFonts w:eastAsia="Calibri"/>
          <w:sz w:val="20"/>
          <w:szCs w:val="20"/>
        </w:rPr>
      </w:pPr>
      <w:r w:rsidRPr="00B837A0">
        <w:rPr>
          <w:rFonts w:eastAsia="Calibri"/>
          <w:sz w:val="20"/>
          <w:szCs w:val="20"/>
        </w:rPr>
        <w:t>Departmental Paperwork Clearance Officer</w:t>
      </w:r>
    </w:p>
    <w:p w:rsidR="00B969BD" w:rsidRPr="00B837A0" w:rsidRDefault="00B969BD" w:rsidP="00B969BD">
      <w:pPr>
        <w:rPr>
          <w:rFonts w:eastAsia="Calibri"/>
          <w:sz w:val="20"/>
          <w:szCs w:val="20"/>
        </w:rPr>
      </w:pPr>
      <w:r w:rsidRPr="00B837A0">
        <w:rPr>
          <w:rFonts w:eastAsia="Calibri"/>
          <w:sz w:val="20"/>
          <w:szCs w:val="20"/>
        </w:rPr>
        <w:t>U.S. Department of Commerce, Room 6616</w:t>
      </w:r>
    </w:p>
    <w:p w:rsidR="00B969BD" w:rsidRPr="00B837A0" w:rsidRDefault="00B969BD" w:rsidP="00B969BD">
      <w:pPr>
        <w:rPr>
          <w:rFonts w:eastAsia="Calibri"/>
          <w:sz w:val="20"/>
          <w:szCs w:val="20"/>
        </w:rPr>
      </w:pPr>
      <w:r w:rsidRPr="00B837A0">
        <w:rPr>
          <w:rFonts w:eastAsia="Calibri"/>
          <w:sz w:val="20"/>
          <w:szCs w:val="20"/>
        </w:rPr>
        <w:t>14</w:t>
      </w:r>
      <w:r w:rsidRPr="00B837A0">
        <w:rPr>
          <w:rFonts w:eastAsia="Calibri"/>
          <w:sz w:val="20"/>
          <w:szCs w:val="20"/>
          <w:vertAlign w:val="superscript"/>
        </w:rPr>
        <w:t>th</w:t>
      </w:r>
      <w:r w:rsidRPr="00B837A0">
        <w:rPr>
          <w:rFonts w:eastAsia="Calibri"/>
          <w:sz w:val="20"/>
          <w:szCs w:val="20"/>
        </w:rPr>
        <w:t xml:space="preserve"> and Constitution Avenue, NW</w:t>
      </w:r>
    </w:p>
    <w:p w:rsidR="00B969BD" w:rsidRPr="00B837A0" w:rsidRDefault="00B969BD" w:rsidP="00B969BD">
      <w:pPr>
        <w:rPr>
          <w:rFonts w:eastAsia="Calibri"/>
          <w:sz w:val="20"/>
          <w:szCs w:val="20"/>
        </w:rPr>
      </w:pPr>
      <w:r w:rsidRPr="00B837A0">
        <w:rPr>
          <w:rFonts w:eastAsia="Calibri"/>
          <w:sz w:val="20"/>
          <w:szCs w:val="20"/>
        </w:rPr>
        <w:t>Washington, DC 20230</w:t>
      </w:r>
    </w:p>
    <w:p w:rsidR="00B969BD" w:rsidRPr="00B837A0" w:rsidRDefault="00B969BD" w:rsidP="00B969BD">
      <w:pPr>
        <w:rPr>
          <w:rFonts w:eastAsia="Calibri"/>
          <w:sz w:val="20"/>
          <w:szCs w:val="20"/>
        </w:rPr>
      </w:pPr>
    </w:p>
    <w:p w:rsidR="00B969BD" w:rsidRPr="00B837A0" w:rsidRDefault="00B969BD" w:rsidP="00B969BD">
      <w:pPr>
        <w:ind w:left="720" w:hanging="720"/>
        <w:rPr>
          <w:rFonts w:eastAsia="Calibri"/>
          <w:sz w:val="20"/>
          <w:szCs w:val="20"/>
        </w:rPr>
      </w:pPr>
      <w:r w:rsidRPr="00B837A0">
        <w:rPr>
          <w:rFonts w:eastAsia="Calibri"/>
          <w:sz w:val="20"/>
          <w:szCs w:val="20"/>
        </w:rPr>
        <w:t>RE:</w:t>
      </w:r>
      <w:r w:rsidRPr="00B837A0">
        <w:rPr>
          <w:rFonts w:eastAsia="Calibri"/>
          <w:sz w:val="20"/>
          <w:szCs w:val="20"/>
        </w:rPr>
        <w:tab/>
      </w:r>
      <w:r w:rsidRPr="00B837A0">
        <w:rPr>
          <w:rFonts w:eastAsia="Calibri"/>
          <w:i/>
          <w:sz w:val="20"/>
          <w:szCs w:val="20"/>
        </w:rPr>
        <w:t xml:space="preserve">Federal Register Notice </w:t>
      </w:r>
      <w:r w:rsidRPr="00B837A0">
        <w:rPr>
          <w:rFonts w:eastAsia="Calibri"/>
          <w:sz w:val="20"/>
          <w:szCs w:val="20"/>
        </w:rPr>
        <w:t>of March 5, 2012, For the U.S. Census Bureau’s Quarterly Services Survey (OMB Number: 0607-0907)</w:t>
      </w:r>
    </w:p>
    <w:p w:rsidR="00B969BD" w:rsidRPr="00B837A0" w:rsidRDefault="00B969BD" w:rsidP="00B969BD">
      <w:pPr>
        <w:ind w:left="720" w:hanging="720"/>
        <w:rPr>
          <w:rFonts w:eastAsia="Calibri"/>
          <w:sz w:val="20"/>
          <w:szCs w:val="20"/>
        </w:rPr>
      </w:pPr>
    </w:p>
    <w:p w:rsidR="00B969BD" w:rsidRPr="00B837A0" w:rsidRDefault="00B969BD" w:rsidP="00B969BD">
      <w:pPr>
        <w:ind w:left="720" w:hanging="720"/>
        <w:rPr>
          <w:rFonts w:eastAsia="Calibri"/>
          <w:sz w:val="20"/>
          <w:szCs w:val="20"/>
        </w:rPr>
      </w:pPr>
      <w:r w:rsidRPr="00B837A0">
        <w:rPr>
          <w:rFonts w:eastAsia="Calibri"/>
          <w:sz w:val="20"/>
          <w:szCs w:val="20"/>
        </w:rPr>
        <w:t>Dear Ms. Jessup:</w:t>
      </w:r>
    </w:p>
    <w:p w:rsidR="00B969BD" w:rsidRPr="00B837A0" w:rsidRDefault="00B969BD" w:rsidP="00B969BD">
      <w:pPr>
        <w:ind w:left="720" w:hanging="720"/>
        <w:rPr>
          <w:rFonts w:eastAsia="Calibri"/>
          <w:sz w:val="20"/>
          <w:szCs w:val="20"/>
        </w:rPr>
      </w:pPr>
    </w:p>
    <w:p w:rsidR="00B969BD" w:rsidRPr="00B837A0" w:rsidRDefault="00B969BD" w:rsidP="00B969BD">
      <w:pPr>
        <w:rPr>
          <w:rFonts w:eastAsia="Calibri"/>
          <w:sz w:val="20"/>
          <w:szCs w:val="20"/>
        </w:rPr>
      </w:pPr>
      <w:r w:rsidRPr="00B837A0">
        <w:rPr>
          <w:rFonts w:eastAsia="Calibri"/>
          <w:sz w:val="20"/>
          <w:szCs w:val="20"/>
        </w:rPr>
        <w:t>The Bureau of Economic Analysis (BEA) strongly supports the continued collection of data by the Census Bureau for the Q</w:t>
      </w:r>
      <w:r w:rsidR="00916E6D" w:rsidRPr="00B837A0">
        <w:rPr>
          <w:rFonts w:eastAsia="Calibri"/>
          <w:sz w:val="20"/>
          <w:szCs w:val="20"/>
        </w:rPr>
        <w:t>uarterly Services Survey (QSS).  T</w:t>
      </w:r>
      <w:r w:rsidRPr="00B837A0">
        <w:rPr>
          <w:rFonts w:eastAsia="Calibri"/>
          <w:sz w:val="20"/>
          <w:szCs w:val="20"/>
        </w:rPr>
        <w:t>he data collected on these forms are crucial to key components of BEA’s economic statistics.</w:t>
      </w:r>
    </w:p>
    <w:p w:rsidR="00B969BD" w:rsidRPr="00B837A0" w:rsidRDefault="00B969BD" w:rsidP="00B969BD">
      <w:pPr>
        <w:rPr>
          <w:rFonts w:eastAsia="Calibri"/>
          <w:sz w:val="20"/>
          <w:szCs w:val="20"/>
        </w:rPr>
      </w:pPr>
    </w:p>
    <w:p w:rsidR="00B969BD" w:rsidRPr="00B837A0" w:rsidRDefault="00B969BD" w:rsidP="00B969BD">
      <w:pPr>
        <w:rPr>
          <w:rFonts w:eastAsia="Calibri"/>
          <w:sz w:val="20"/>
          <w:szCs w:val="20"/>
        </w:rPr>
      </w:pPr>
      <w:r w:rsidRPr="00B837A0">
        <w:rPr>
          <w:rFonts w:eastAsia="Calibri"/>
          <w:sz w:val="20"/>
          <w:szCs w:val="20"/>
        </w:rPr>
        <w:t xml:space="preserve">BEA uses data from these forms to prepare the national income and product accounts (NIPA) and gross domestic product (GDP) by industry. In the NIPAs, the expense and revenue data currently collected are used to prepare quarterly estimates of personal consumption expenditure (PCE) for services and of software in </w:t>
      </w:r>
      <w:r w:rsidR="00916E6D" w:rsidRPr="00B837A0">
        <w:rPr>
          <w:rFonts w:eastAsia="Calibri"/>
          <w:sz w:val="20"/>
          <w:szCs w:val="20"/>
        </w:rPr>
        <w:t xml:space="preserve">private equipment and software.  </w:t>
      </w:r>
      <w:r w:rsidRPr="00B837A0">
        <w:rPr>
          <w:rFonts w:eastAsia="Calibri"/>
          <w:sz w:val="20"/>
          <w:szCs w:val="20"/>
        </w:rPr>
        <w:t>In the GDP by industry estimates, revenues are used to estimate gross output for taxable industries.</w:t>
      </w:r>
    </w:p>
    <w:p w:rsidR="00B969BD" w:rsidRPr="00B837A0" w:rsidRDefault="00B969BD" w:rsidP="00B969BD">
      <w:pPr>
        <w:rPr>
          <w:rFonts w:eastAsia="Calibri"/>
          <w:sz w:val="20"/>
          <w:szCs w:val="20"/>
        </w:rPr>
      </w:pPr>
    </w:p>
    <w:p w:rsidR="00B969BD" w:rsidRPr="00B837A0" w:rsidRDefault="00B969BD" w:rsidP="00B969BD">
      <w:pPr>
        <w:autoSpaceDE w:val="0"/>
        <w:autoSpaceDN w:val="0"/>
        <w:adjustRightInd w:val="0"/>
        <w:rPr>
          <w:rFonts w:eastAsia="Calibri"/>
          <w:sz w:val="20"/>
          <w:szCs w:val="20"/>
        </w:rPr>
      </w:pPr>
      <w:r w:rsidRPr="00B837A0">
        <w:rPr>
          <w:rFonts w:eastAsia="Calibri"/>
          <w:sz w:val="20"/>
          <w:szCs w:val="20"/>
        </w:rPr>
        <w:t>We also strongly support the expansion of industry coverage for the survey, which will provide for one consistent data source for data items not previously available. BEA looks forward to analyzing and incorporating the newly obtained</w:t>
      </w:r>
      <w:r w:rsidR="00916E6D" w:rsidRPr="00B837A0">
        <w:rPr>
          <w:rFonts w:eastAsia="Calibri"/>
          <w:sz w:val="20"/>
          <w:szCs w:val="20"/>
        </w:rPr>
        <w:t xml:space="preserve"> data to improve our estimates.  </w:t>
      </w:r>
      <w:r w:rsidRPr="00B837A0">
        <w:rPr>
          <w:rFonts w:eastAsia="Calibri"/>
          <w:sz w:val="20"/>
          <w:szCs w:val="20"/>
        </w:rPr>
        <w:t>For the NIPAs, this will be especially important for ar</w:t>
      </w:r>
      <w:r w:rsidR="00916E6D" w:rsidRPr="00B837A0">
        <w:rPr>
          <w:rFonts w:eastAsia="Calibri"/>
          <w:sz w:val="20"/>
          <w:szCs w:val="20"/>
        </w:rPr>
        <w:t xml:space="preserve">eas where there are no reliable </w:t>
      </w:r>
      <w:r w:rsidRPr="00B837A0">
        <w:rPr>
          <w:rFonts w:eastAsia="Calibri"/>
          <w:sz w:val="20"/>
          <w:szCs w:val="20"/>
        </w:rPr>
        <w:t>quarterly in</w:t>
      </w:r>
      <w:r w:rsidR="00916E6D" w:rsidRPr="00B837A0">
        <w:rPr>
          <w:rFonts w:eastAsia="Calibri"/>
          <w:sz w:val="20"/>
          <w:szCs w:val="20"/>
        </w:rPr>
        <w:t xml:space="preserve">dicators for the PCE estimates.  </w:t>
      </w:r>
      <w:r w:rsidRPr="00B837A0">
        <w:rPr>
          <w:rFonts w:eastAsia="Calibri"/>
          <w:sz w:val="20"/>
          <w:szCs w:val="20"/>
        </w:rPr>
        <w:t xml:space="preserve">These include industries such as transportation and warehousing (NAICS 48), educational services (NAICS 611), utilities (NAICS 221), </w:t>
      </w:r>
      <w:r w:rsidR="00916E6D" w:rsidRPr="00B837A0">
        <w:rPr>
          <w:rFonts w:eastAsia="Calibri"/>
          <w:sz w:val="20"/>
          <w:szCs w:val="20"/>
        </w:rPr>
        <w:t xml:space="preserve">and accommodations (NAICS 721).  </w:t>
      </w:r>
      <w:r w:rsidRPr="00B837A0">
        <w:rPr>
          <w:rFonts w:eastAsia="Calibri"/>
          <w:sz w:val="20"/>
          <w:szCs w:val="20"/>
        </w:rPr>
        <w:t>Also, the detailed estimates for interest income, loan fees, fees and commissions, financial planning and investment management, and net gains and losses from brokering for select finance and insurance industries (NAICS 52) will greatly improve</w:t>
      </w:r>
      <w:r w:rsidR="00916E6D" w:rsidRPr="00B837A0">
        <w:rPr>
          <w:rFonts w:eastAsia="Calibri"/>
          <w:sz w:val="20"/>
          <w:szCs w:val="20"/>
        </w:rPr>
        <w:t xml:space="preserve"> our PCE estimates by providing </w:t>
      </w:r>
      <w:r w:rsidRPr="00B837A0">
        <w:rPr>
          <w:rFonts w:eastAsia="Calibri"/>
          <w:sz w:val="20"/>
          <w:szCs w:val="20"/>
        </w:rPr>
        <w:t>a closer match to what is measured</w:t>
      </w:r>
      <w:r w:rsidR="00916E6D" w:rsidRPr="00B837A0">
        <w:rPr>
          <w:rFonts w:eastAsia="Calibri"/>
          <w:sz w:val="20"/>
          <w:szCs w:val="20"/>
        </w:rPr>
        <w:t xml:space="preserve"> in PCE for financial services.  </w:t>
      </w:r>
      <w:r w:rsidRPr="00B837A0">
        <w:rPr>
          <w:rFonts w:eastAsia="Calibri"/>
          <w:sz w:val="20"/>
          <w:szCs w:val="20"/>
        </w:rPr>
        <w:t>For the industry accounts, expansion</w:t>
      </w:r>
      <w:r w:rsidR="007A2A20">
        <w:rPr>
          <w:rFonts w:eastAsia="Calibri"/>
          <w:sz w:val="20"/>
          <w:szCs w:val="20"/>
        </w:rPr>
        <w:t xml:space="preserve"> to include the accommodations sector </w:t>
      </w:r>
      <w:r w:rsidRPr="00B837A0">
        <w:rPr>
          <w:rFonts w:eastAsia="Calibri"/>
          <w:sz w:val="20"/>
          <w:szCs w:val="20"/>
        </w:rPr>
        <w:t>is important to BEA’s preparation of quarterly GDP-by-industry statistics,</w:t>
      </w:r>
      <w:r w:rsidR="007A2A20">
        <w:rPr>
          <w:rFonts w:eastAsia="Calibri"/>
          <w:sz w:val="20"/>
          <w:szCs w:val="20"/>
        </w:rPr>
        <w:t xml:space="preserve"> which will offer a by-industry </w:t>
      </w:r>
      <w:r w:rsidRPr="00B837A0">
        <w:rPr>
          <w:rFonts w:eastAsia="Calibri"/>
          <w:sz w:val="20"/>
          <w:szCs w:val="20"/>
        </w:rPr>
        <w:t>breakout of quarterly GDP growth benchmarked to the most recent set of annual industry accounts.</w:t>
      </w:r>
    </w:p>
    <w:p w:rsidR="00B969BD" w:rsidRPr="00B837A0" w:rsidRDefault="00B969BD" w:rsidP="00B969BD">
      <w:pPr>
        <w:autoSpaceDE w:val="0"/>
        <w:autoSpaceDN w:val="0"/>
        <w:adjustRightInd w:val="0"/>
        <w:rPr>
          <w:rFonts w:eastAsia="Calibri"/>
          <w:sz w:val="20"/>
          <w:szCs w:val="20"/>
        </w:rPr>
      </w:pPr>
    </w:p>
    <w:p w:rsidR="00B969BD" w:rsidRPr="00B837A0" w:rsidRDefault="00B969BD" w:rsidP="00B969BD">
      <w:pPr>
        <w:widowControl w:val="0"/>
        <w:autoSpaceDE w:val="0"/>
        <w:autoSpaceDN w:val="0"/>
        <w:adjustRightInd w:val="0"/>
        <w:rPr>
          <w:sz w:val="20"/>
          <w:szCs w:val="20"/>
        </w:rPr>
      </w:pPr>
      <w:r w:rsidRPr="00B837A0">
        <w:rPr>
          <w:sz w:val="20"/>
          <w:szCs w:val="20"/>
        </w:rPr>
        <w:t>A list of items used</w:t>
      </w:r>
      <w:r w:rsidR="00916E6D" w:rsidRPr="00B837A0">
        <w:rPr>
          <w:sz w:val="20"/>
          <w:szCs w:val="20"/>
        </w:rPr>
        <w:t xml:space="preserve"> by BEA</w:t>
      </w:r>
      <w:r w:rsidRPr="00B837A0">
        <w:rPr>
          <w:sz w:val="20"/>
          <w:szCs w:val="20"/>
        </w:rPr>
        <w:t xml:space="preserve"> appears in the attached table.  Please keep BEA informed about any modifications to these forms.  We are particularly interested in any modifications proposed during the forms’ approval process that would substantially affect our use of these data.  For additional information, please contact Ruth Bramblett, Source Data Coordinator, on (202) 606-9653 or by e-mail at </w:t>
      </w:r>
      <w:hyperlink r:id="rId7" w:history="1">
        <w:r w:rsidR="00916E6D" w:rsidRPr="00B837A0">
          <w:rPr>
            <w:rStyle w:val="Hyperlink"/>
            <w:sz w:val="20"/>
            <w:szCs w:val="20"/>
          </w:rPr>
          <w:t>Ruth.Bramblett@bea.gov</w:t>
        </w:r>
      </w:hyperlink>
      <w:r w:rsidR="00916E6D" w:rsidRPr="00B837A0">
        <w:rPr>
          <w:sz w:val="20"/>
          <w:szCs w:val="20"/>
        </w:rPr>
        <w:t xml:space="preserve">.  </w:t>
      </w:r>
      <w:r w:rsidRPr="00B837A0">
        <w:rPr>
          <w:sz w:val="20"/>
          <w:szCs w:val="20"/>
        </w:rPr>
        <w:t>Should you need assistance in justifying these forms to the Office of Management and Budget, please do not hesitate to contact BEA.</w:t>
      </w:r>
    </w:p>
    <w:p w:rsidR="00B969BD" w:rsidRPr="00B837A0" w:rsidRDefault="00B969BD" w:rsidP="00B969BD">
      <w:pPr>
        <w:widowControl w:val="0"/>
        <w:autoSpaceDE w:val="0"/>
        <w:autoSpaceDN w:val="0"/>
        <w:adjustRightInd w:val="0"/>
        <w:rPr>
          <w:sz w:val="20"/>
          <w:szCs w:val="20"/>
        </w:rPr>
      </w:pPr>
    </w:p>
    <w:p w:rsidR="00B969BD" w:rsidRPr="00B837A0" w:rsidRDefault="00B969BD" w:rsidP="00B969BD">
      <w:pPr>
        <w:widowControl w:val="0"/>
        <w:autoSpaceDE w:val="0"/>
        <w:autoSpaceDN w:val="0"/>
        <w:adjustRightInd w:val="0"/>
        <w:rPr>
          <w:sz w:val="20"/>
          <w:szCs w:val="20"/>
        </w:rPr>
      </w:pPr>
      <w:r w:rsidRPr="00B837A0">
        <w:rPr>
          <w:sz w:val="20"/>
          <w:szCs w:val="20"/>
        </w:rPr>
        <w:t>Sincerely,</w:t>
      </w:r>
    </w:p>
    <w:p w:rsidR="001B0E95" w:rsidRDefault="001B0E95" w:rsidP="00B969BD">
      <w:pPr>
        <w:widowControl w:val="0"/>
        <w:autoSpaceDE w:val="0"/>
        <w:autoSpaceDN w:val="0"/>
        <w:adjustRightInd w:val="0"/>
        <w:rPr>
          <w:sz w:val="20"/>
          <w:szCs w:val="20"/>
        </w:rPr>
      </w:pPr>
      <w:r>
        <w:rPr>
          <w:sz w:val="20"/>
          <w:szCs w:val="20"/>
        </w:rPr>
        <w:t xml:space="preserve">     /s/</w:t>
      </w:r>
    </w:p>
    <w:p w:rsidR="00B969BD" w:rsidRPr="00B837A0" w:rsidRDefault="00B969BD" w:rsidP="00B969BD">
      <w:pPr>
        <w:widowControl w:val="0"/>
        <w:autoSpaceDE w:val="0"/>
        <w:autoSpaceDN w:val="0"/>
        <w:adjustRightInd w:val="0"/>
        <w:rPr>
          <w:sz w:val="20"/>
          <w:szCs w:val="20"/>
        </w:rPr>
      </w:pPr>
      <w:r w:rsidRPr="00B837A0">
        <w:rPr>
          <w:sz w:val="20"/>
          <w:szCs w:val="20"/>
        </w:rPr>
        <w:t>Dennis J. Fixler</w:t>
      </w:r>
    </w:p>
    <w:p w:rsidR="00B969BD" w:rsidRPr="00B837A0" w:rsidRDefault="00B969BD" w:rsidP="00B969BD">
      <w:pPr>
        <w:widowControl w:val="0"/>
        <w:autoSpaceDE w:val="0"/>
        <w:autoSpaceDN w:val="0"/>
        <w:adjustRightInd w:val="0"/>
        <w:rPr>
          <w:sz w:val="20"/>
          <w:szCs w:val="20"/>
        </w:rPr>
      </w:pPr>
      <w:r w:rsidRPr="00B837A0">
        <w:rPr>
          <w:sz w:val="20"/>
          <w:szCs w:val="20"/>
        </w:rPr>
        <w:t>Chief Statistician</w:t>
      </w:r>
    </w:p>
    <w:p w:rsidR="00B969BD" w:rsidRPr="00B837A0" w:rsidRDefault="00B969BD" w:rsidP="00B969BD">
      <w:pPr>
        <w:widowControl w:val="0"/>
        <w:autoSpaceDE w:val="0"/>
        <w:autoSpaceDN w:val="0"/>
        <w:adjustRightInd w:val="0"/>
        <w:rPr>
          <w:sz w:val="20"/>
          <w:szCs w:val="20"/>
        </w:rPr>
      </w:pPr>
    </w:p>
    <w:p w:rsidR="00B969BD" w:rsidRPr="00B837A0" w:rsidRDefault="00B969BD" w:rsidP="00B969BD">
      <w:pPr>
        <w:widowControl w:val="0"/>
        <w:autoSpaceDE w:val="0"/>
        <w:autoSpaceDN w:val="0"/>
        <w:adjustRightInd w:val="0"/>
        <w:rPr>
          <w:sz w:val="20"/>
          <w:szCs w:val="20"/>
        </w:rPr>
      </w:pPr>
      <w:r w:rsidRPr="00B837A0">
        <w:rPr>
          <w:sz w:val="20"/>
          <w:szCs w:val="20"/>
        </w:rPr>
        <w:t>Attachment</w:t>
      </w:r>
    </w:p>
    <w:p w:rsidR="00B969BD" w:rsidRPr="00B969BD" w:rsidRDefault="00B969BD" w:rsidP="00B969BD">
      <w:pPr>
        <w:widowControl w:val="0"/>
        <w:tabs>
          <w:tab w:val="left" w:pos="6120"/>
        </w:tabs>
        <w:autoSpaceDE w:val="0"/>
        <w:autoSpaceDN w:val="0"/>
        <w:adjustRightInd w:val="0"/>
        <w:jc w:val="center"/>
        <w:rPr>
          <w:b/>
          <w:bCs/>
        </w:rPr>
      </w:pPr>
      <w:r w:rsidRPr="00B969BD">
        <w:br w:type="page"/>
      </w:r>
    </w:p>
    <w:p w:rsidR="00B837A0" w:rsidRDefault="00B837A0" w:rsidP="00B969BD">
      <w:pPr>
        <w:widowControl w:val="0"/>
        <w:tabs>
          <w:tab w:val="left" w:pos="6120"/>
        </w:tabs>
        <w:autoSpaceDE w:val="0"/>
        <w:autoSpaceDN w:val="0"/>
        <w:adjustRightInd w:val="0"/>
        <w:jc w:val="center"/>
        <w:rPr>
          <w:b/>
          <w:bCs/>
          <w:sz w:val="22"/>
          <w:szCs w:val="22"/>
        </w:rPr>
      </w:pPr>
    </w:p>
    <w:p w:rsidR="00B837A0" w:rsidRDefault="00B837A0" w:rsidP="00B969BD">
      <w:pPr>
        <w:widowControl w:val="0"/>
        <w:tabs>
          <w:tab w:val="left" w:pos="6120"/>
        </w:tabs>
        <w:autoSpaceDE w:val="0"/>
        <w:autoSpaceDN w:val="0"/>
        <w:adjustRightInd w:val="0"/>
        <w:jc w:val="center"/>
        <w:rPr>
          <w:b/>
          <w:bCs/>
          <w:sz w:val="22"/>
          <w:szCs w:val="22"/>
        </w:rPr>
      </w:pPr>
    </w:p>
    <w:p w:rsidR="00B837A0" w:rsidRDefault="00B837A0" w:rsidP="00B969BD">
      <w:pPr>
        <w:widowControl w:val="0"/>
        <w:tabs>
          <w:tab w:val="left" w:pos="6120"/>
        </w:tabs>
        <w:autoSpaceDE w:val="0"/>
        <w:autoSpaceDN w:val="0"/>
        <w:adjustRightInd w:val="0"/>
        <w:jc w:val="center"/>
        <w:rPr>
          <w:b/>
          <w:bCs/>
          <w:sz w:val="22"/>
          <w:szCs w:val="22"/>
        </w:rPr>
      </w:pPr>
    </w:p>
    <w:p w:rsidR="00B969BD" w:rsidRPr="00B837A0" w:rsidRDefault="00B969BD" w:rsidP="00B969BD">
      <w:pPr>
        <w:widowControl w:val="0"/>
        <w:tabs>
          <w:tab w:val="left" w:pos="6120"/>
        </w:tabs>
        <w:autoSpaceDE w:val="0"/>
        <w:autoSpaceDN w:val="0"/>
        <w:adjustRightInd w:val="0"/>
        <w:jc w:val="center"/>
        <w:rPr>
          <w:b/>
          <w:bCs/>
          <w:sz w:val="22"/>
          <w:szCs w:val="22"/>
        </w:rPr>
      </w:pPr>
      <w:r w:rsidRPr="00B837A0">
        <w:rPr>
          <w:b/>
          <w:bCs/>
          <w:sz w:val="22"/>
          <w:szCs w:val="22"/>
        </w:rPr>
        <w:t>ATTACHMENT</w:t>
      </w:r>
    </w:p>
    <w:p w:rsidR="00916E6D" w:rsidRPr="00B837A0" w:rsidRDefault="00916E6D" w:rsidP="00B969BD">
      <w:pPr>
        <w:widowControl w:val="0"/>
        <w:tabs>
          <w:tab w:val="left" w:pos="6120"/>
        </w:tabs>
        <w:autoSpaceDE w:val="0"/>
        <w:autoSpaceDN w:val="0"/>
        <w:adjustRightInd w:val="0"/>
        <w:jc w:val="center"/>
        <w:rPr>
          <w:b/>
          <w:bCs/>
          <w:sz w:val="22"/>
          <w:szCs w:val="22"/>
        </w:rPr>
      </w:pPr>
    </w:p>
    <w:p w:rsidR="00B969BD" w:rsidRPr="00B837A0" w:rsidRDefault="00B969BD" w:rsidP="00B969BD">
      <w:pPr>
        <w:widowControl w:val="0"/>
        <w:tabs>
          <w:tab w:val="left" w:pos="6120"/>
        </w:tabs>
        <w:autoSpaceDE w:val="0"/>
        <w:autoSpaceDN w:val="0"/>
        <w:adjustRightInd w:val="0"/>
        <w:jc w:val="center"/>
        <w:rPr>
          <w:b/>
          <w:bCs/>
          <w:sz w:val="22"/>
          <w:szCs w:val="22"/>
        </w:rPr>
      </w:pPr>
      <w:r w:rsidRPr="00B837A0">
        <w:rPr>
          <w:b/>
          <w:bCs/>
          <w:sz w:val="22"/>
          <w:szCs w:val="22"/>
        </w:rPr>
        <w:t>BEA’s Use of Data from the Quarterly Services Survey</w:t>
      </w:r>
    </w:p>
    <w:p w:rsidR="00B969BD" w:rsidRPr="00B837A0" w:rsidRDefault="00B969BD" w:rsidP="00B969BD">
      <w:pPr>
        <w:widowControl w:val="0"/>
        <w:autoSpaceDE w:val="0"/>
        <w:autoSpaceDN w:val="0"/>
        <w:adjustRightInd w:val="0"/>
        <w:rPr>
          <w:sz w:val="22"/>
          <w:szCs w:val="22"/>
        </w:rPr>
      </w:pPr>
    </w:p>
    <w:p w:rsidR="00B969BD" w:rsidRPr="00B837A0" w:rsidRDefault="00B969BD" w:rsidP="00B969BD">
      <w:pPr>
        <w:widowControl w:val="0"/>
        <w:autoSpaceDE w:val="0"/>
        <w:autoSpaceDN w:val="0"/>
        <w:adjustRightInd w:val="0"/>
        <w:rPr>
          <w:rFonts w:ascii="Courier" w:hAnsi="Courier"/>
          <w:sz w:val="22"/>
          <w:szCs w:val="22"/>
        </w:rPr>
      </w:pPr>
    </w:p>
    <w:tbl>
      <w:tblPr>
        <w:tblpPr w:leftFromText="180" w:rightFromText="180" w:vertAnchor="text" w:tblpX="918" w:tblpY="1"/>
        <w:tblOverlap w:val="neve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5651"/>
      </w:tblGrid>
      <w:tr w:rsidR="00B969BD" w:rsidRPr="00B837A0" w:rsidTr="00B969BD">
        <w:trPr>
          <w:trHeight w:val="327"/>
        </w:trPr>
        <w:tc>
          <w:tcPr>
            <w:tcW w:w="3079" w:type="dxa"/>
          </w:tcPr>
          <w:p w:rsidR="00B969BD" w:rsidRPr="00B837A0" w:rsidRDefault="00B969BD" w:rsidP="00B969BD">
            <w:pPr>
              <w:widowControl w:val="0"/>
              <w:autoSpaceDE w:val="0"/>
              <w:autoSpaceDN w:val="0"/>
              <w:adjustRightInd w:val="0"/>
              <w:rPr>
                <w:b/>
                <w:bCs/>
                <w:sz w:val="22"/>
                <w:szCs w:val="22"/>
              </w:rPr>
            </w:pPr>
          </w:p>
          <w:p w:rsidR="00B969BD" w:rsidRPr="00B837A0" w:rsidRDefault="00B969BD" w:rsidP="00B969BD">
            <w:pPr>
              <w:widowControl w:val="0"/>
              <w:autoSpaceDE w:val="0"/>
              <w:autoSpaceDN w:val="0"/>
              <w:adjustRightInd w:val="0"/>
              <w:rPr>
                <w:b/>
                <w:bCs/>
                <w:sz w:val="22"/>
                <w:szCs w:val="22"/>
              </w:rPr>
            </w:pPr>
            <w:r w:rsidRPr="00B837A0">
              <w:rPr>
                <w:b/>
                <w:bCs/>
                <w:sz w:val="22"/>
                <w:szCs w:val="22"/>
              </w:rPr>
              <w:t>Item Used:</w:t>
            </w:r>
          </w:p>
        </w:tc>
        <w:tc>
          <w:tcPr>
            <w:tcW w:w="5651" w:type="dxa"/>
          </w:tcPr>
          <w:p w:rsidR="00B969BD" w:rsidRPr="00B837A0" w:rsidRDefault="00B969BD" w:rsidP="00B969BD">
            <w:pPr>
              <w:widowControl w:val="0"/>
              <w:autoSpaceDE w:val="0"/>
              <w:autoSpaceDN w:val="0"/>
              <w:adjustRightInd w:val="0"/>
              <w:rPr>
                <w:b/>
                <w:bCs/>
                <w:sz w:val="22"/>
                <w:szCs w:val="22"/>
              </w:rPr>
            </w:pPr>
          </w:p>
          <w:p w:rsidR="00B969BD" w:rsidRPr="00B837A0" w:rsidRDefault="00B969BD" w:rsidP="00B969BD">
            <w:pPr>
              <w:widowControl w:val="0"/>
              <w:autoSpaceDE w:val="0"/>
              <w:autoSpaceDN w:val="0"/>
              <w:adjustRightInd w:val="0"/>
              <w:rPr>
                <w:b/>
                <w:bCs/>
                <w:sz w:val="22"/>
                <w:szCs w:val="22"/>
              </w:rPr>
            </w:pPr>
            <w:r w:rsidRPr="00B837A0">
              <w:rPr>
                <w:b/>
                <w:bCs/>
                <w:sz w:val="22"/>
                <w:szCs w:val="22"/>
              </w:rPr>
              <w:t>BEA Use:</w:t>
            </w:r>
          </w:p>
        </w:tc>
      </w:tr>
      <w:tr w:rsidR="00B969BD" w:rsidRPr="00B837A0" w:rsidTr="00B969BD">
        <w:trPr>
          <w:trHeight w:val="1362"/>
        </w:trPr>
        <w:tc>
          <w:tcPr>
            <w:tcW w:w="3079" w:type="dxa"/>
            <w:vAlign w:val="bottom"/>
          </w:tcPr>
          <w:p w:rsidR="00B969BD" w:rsidRPr="00B837A0" w:rsidRDefault="00916E6D" w:rsidP="00B969BD">
            <w:pPr>
              <w:widowControl w:val="0"/>
              <w:autoSpaceDE w:val="0"/>
              <w:autoSpaceDN w:val="0"/>
              <w:adjustRightInd w:val="0"/>
              <w:rPr>
                <w:sz w:val="22"/>
                <w:szCs w:val="22"/>
              </w:rPr>
            </w:pPr>
            <w:r w:rsidRPr="00B837A0">
              <w:rPr>
                <w:sz w:val="22"/>
                <w:szCs w:val="22"/>
              </w:rPr>
              <w:t>Operating revenue</w:t>
            </w:r>
            <w:r w:rsidR="00B969BD" w:rsidRPr="00B837A0">
              <w:rPr>
                <w:sz w:val="22"/>
                <w:szCs w:val="22"/>
              </w:rPr>
              <w:t xml:space="preserve">                       </w:t>
            </w:r>
          </w:p>
        </w:tc>
        <w:tc>
          <w:tcPr>
            <w:tcW w:w="5651" w:type="dxa"/>
            <w:vAlign w:val="bottom"/>
          </w:tcPr>
          <w:p w:rsidR="00B969BD" w:rsidRPr="00B837A0" w:rsidRDefault="00B969BD" w:rsidP="00B969BD">
            <w:pPr>
              <w:widowControl w:val="0"/>
              <w:autoSpaceDE w:val="0"/>
              <w:autoSpaceDN w:val="0"/>
              <w:adjustRightInd w:val="0"/>
              <w:rPr>
                <w:sz w:val="22"/>
                <w:szCs w:val="22"/>
              </w:rPr>
            </w:pPr>
            <w:r w:rsidRPr="00B837A0">
              <w:rPr>
                <w:sz w:val="22"/>
                <w:szCs w:val="22"/>
              </w:rPr>
              <w:t>Estimate PCE services (proprie</w:t>
            </w:r>
            <w:r w:rsidR="00B837A0" w:rsidRPr="00B837A0">
              <w:rPr>
                <w:sz w:val="22"/>
                <w:szCs w:val="22"/>
              </w:rPr>
              <w:t xml:space="preserve">tary and nonprofit industries).  </w:t>
            </w:r>
            <w:r w:rsidRPr="00B837A0">
              <w:rPr>
                <w:sz w:val="22"/>
                <w:szCs w:val="22"/>
              </w:rPr>
              <w:t>Derive intermediate inputs and tax rates for Benchmark I-O.  Estimate gross output in taxable industries for Annual I-O accounts</w:t>
            </w:r>
            <w:r w:rsidR="00B837A0" w:rsidRPr="00B837A0">
              <w:rPr>
                <w:sz w:val="22"/>
                <w:szCs w:val="22"/>
              </w:rPr>
              <w:t>.</w:t>
            </w:r>
          </w:p>
          <w:p w:rsidR="00B969BD" w:rsidRPr="00B837A0" w:rsidRDefault="00B969BD" w:rsidP="00B969BD">
            <w:pPr>
              <w:widowControl w:val="0"/>
              <w:autoSpaceDE w:val="0"/>
              <w:autoSpaceDN w:val="0"/>
              <w:adjustRightInd w:val="0"/>
              <w:rPr>
                <w:sz w:val="22"/>
                <w:szCs w:val="22"/>
              </w:rPr>
            </w:pPr>
          </w:p>
          <w:p w:rsidR="00B969BD" w:rsidRPr="00B837A0" w:rsidRDefault="00B969BD" w:rsidP="00B969BD">
            <w:pPr>
              <w:widowControl w:val="0"/>
              <w:autoSpaceDE w:val="0"/>
              <w:autoSpaceDN w:val="0"/>
              <w:adjustRightInd w:val="0"/>
              <w:rPr>
                <w:sz w:val="22"/>
                <w:szCs w:val="22"/>
              </w:rPr>
            </w:pPr>
            <w:r w:rsidRPr="00B837A0">
              <w:rPr>
                <w:sz w:val="22"/>
                <w:szCs w:val="22"/>
              </w:rPr>
              <w:t>Estimate software component of private equipment and software</w:t>
            </w:r>
            <w:r w:rsidR="00B837A0" w:rsidRPr="00B837A0">
              <w:rPr>
                <w:sz w:val="22"/>
                <w:szCs w:val="22"/>
              </w:rPr>
              <w:t>.</w:t>
            </w:r>
          </w:p>
        </w:tc>
      </w:tr>
      <w:tr w:rsidR="00B969BD" w:rsidRPr="00B837A0" w:rsidTr="00B969BD">
        <w:trPr>
          <w:trHeight w:val="1035"/>
        </w:trPr>
        <w:tc>
          <w:tcPr>
            <w:tcW w:w="3079" w:type="dxa"/>
            <w:vAlign w:val="bottom"/>
          </w:tcPr>
          <w:p w:rsidR="00B969BD" w:rsidRPr="00B837A0" w:rsidRDefault="00B969BD" w:rsidP="00B969BD">
            <w:pPr>
              <w:widowControl w:val="0"/>
              <w:autoSpaceDE w:val="0"/>
              <w:autoSpaceDN w:val="0"/>
              <w:adjustRightInd w:val="0"/>
              <w:rPr>
                <w:sz w:val="22"/>
                <w:szCs w:val="22"/>
              </w:rPr>
            </w:pPr>
            <w:r w:rsidRPr="00B837A0">
              <w:rPr>
                <w:sz w:val="22"/>
                <w:szCs w:val="22"/>
              </w:rPr>
              <w:t xml:space="preserve">Operating expenses                         </w:t>
            </w:r>
          </w:p>
        </w:tc>
        <w:tc>
          <w:tcPr>
            <w:tcW w:w="5651" w:type="dxa"/>
            <w:vAlign w:val="bottom"/>
          </w:tcPr>
          <w:p w:rsidR="00B969BD" w:rsidRPr="00B837A0" w:rsidRDefault="00B969BD" w:rsidP="00B969BD">
            <w:pPr>
              <w:widowControl w:val="0"/>
              <w:autoSpaceDE w:val="0"/>
              <w:autoSpaceDN w:val="0"/>
              <w:adjustRightInd w:val="0"/>
              <w:rPr>
                <w:sz w:val="22"/>
                <w:szCs w:val="22"/>
              </w:rPr>
            </w:pPr>
            <w:r w:rsidRPr="00B837A0">
              <w:rPr>
                <w:sz w:val="22"/>
                <w:szCs w:val="22"/>
              </w:rPr>
              <w:t>Estimate PCE s</w:t>
            </w:r>
            <w:r w:rsidR="00B837A0" w:rsidRPr="00B837A0">
              <w:rPr>
                <w:sz w:val="22"/>
                <w:szCs w:val="22"/>
              </w:rPr>
              <w:t xml:space="preserve">ervices (nonprofit industries).  </w:t>
            </w:r>
            <w:r w:rsidRPr="00B837A0">
              <w:rPr>
                <w:sz w:val="22"/>
                <w:szCs w:val="22"/>
              </w:rPr>
              <w:t>Derive intermediate inputs for Benchmark I-O.  Estimate gross output in tax-exempt industries for annual I-O accounts.</w:t>
            </w:r>
          </w:p>
        </w:tc>
      </w:tr>
      <w:tr w:rsidR="00B969BD" w:rsidRPr="00B837A0" w:rsidTr="00B969BD">
        <w:trPr>
          <w:trHeight w:val="690"/>
        </w:trPr>
        <w:tc>
          <w:tcPr>
            <w:tcW w:w="3079" w:type="dxa"/>
            <w:vAlign w:val="bottom"/>
          </w:tcPr>
          <w:p w:rsidR="00B969BD" w:rsidRPr="00B837A0" w:rsidRDefault="00B969BD" w:rsidP="00B969BD">
            <w:pPr>
              <w:widowControl w:val="0"/>
              <w:autoSpaceDE w:val="0"/>
              <w:autoSpaceDN w:val="0"/>
              <w:adjustRightInd w:val="0"/>
              <w:rPr>
                <w:sz w:val="22"/>
                <w:szCs w:val="22"/>
              </w:rPr>
            </w:pPr>
            <w:r w:rsidRPr="00B837A0">
              <w:rPr>
                <w:sz w:val="22"/>
                <w:szCs w:val="22"/>
              </w:rPr>
              <w:t xml:space="preserve">Inventories at the end of the year     </w:t>
            </w:r>
          </w:p>
        </w:tc>
        <w:tc>
          <w:tcPr>
            <w:tcW w:w="5651" w:type="dxa"/>
            <w:vAlign w:val="bottom"/>
          </w:tcPr>
          <w:p w:rsidR="00B969BD" w:rsidRPr="00B837A0" w:rsidRDefault="00B969BD" w:rsidP="00B837A0">
            <w:pPr>
              <w:widowControl w:val="0"/>
              <w:autoSpaceDE w:val="0"/>
              <w:autoSpaceDN w:val="0"/>
              <w:adjustRightInd w:val="0"/>
              <w:rPr>
                <w:sz w:val="22"/>
                <w:szCs w:val="22"/>
              </w:rPr>
            </w:pPr>
            <w:r w:rsidRPr="00B837A0">
              <w:rPr>
                <w:sz w:val="22"/>
                <w:szCs w:val="22"/>
              </w:rPr>
              <w:t xml:space="preserve">Estimate change in private inventories for the </w:t>
            </w:r>
            <w:r w:rsidR="00B837A0" w:rsidRPr="00B837A0">
              <w:rPr>
                <w:sz w:val="22"/>
                <w:szCs w:val="22"/>
              </w:rPr>
              <w:t>p</w:t>
            </w:r>
            <w:r w:rsidRPr="00B837A0">
              <w:rPr>
                <w:sz w:val="22"/>
                <w:szCs w:val="22"/>
              </w:rPr>
              <w:t xml:space="preserve">ublishing </w:t>
            </w:r>
            <w:r w:rsidR="00B837A0" w:rsidRPr="00B837A0">
              <w:rPr>
                <w:sz w:val="22"/>
                <w:szCs w:val="22"/>
              </w:rPr>
              <w:t>i</w:t>
            </w:r>
            <w:r w:rsidRPr="00B837A0">
              <w:rPr>
                <w:sz w:val="22"/>
                <w:szCs w:val="22"/>
              </w:rPr>
              <w:t>ndustry (NAICS 511) and annual I-O accounts.</w:t>
            </w:r>
          </w:p>
        </w:tc>
      </w:tr>
    </w:tbl>
    <w:p w:rsidR="00B969BD" w:rsidRPr="00B837A0" w:rsidRDefault="00B969BD">
      <w:pPr>
        <w:rPr>
          <w:sz w:val="22"/>
          <w:szCs w:val="22"/>
        </w:rPr>
      </w:pPr>
      <w:r w:rsidRPr="00B837A0">
        <w:rPr>
          <w:sz w:val="22"/>
          <w:szCs w:val="22"/>
        </w:rPr>
        <w:br w:type="textWrapping" w:clear="all"/>
      </w:r>
    </w:p>
    <w:sectPr w:rsidR="00B969BD" w:rsidRPr="00B837A0">
      <w:headerReference w:type="default" r:id="rId8"/>
      <w:headerReference w:type="first" r:id="rId9"/>
      <w:footerReference w:type="first" r:id="rId10"/>
      <w:pgSz w:w="12240" w:h="15840"/>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83" w:rsidRDefault="00AE1B83">
      <w:r>
        <w:separator/>
      </w:r>
    </w:p>
  </w:endnote>
  <w:endnote w:type="continuationSeparator" w:id="0">
    <w:p w:rsidR="00AE1B83" w:rsidRDefault="00AE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w:altName w:val="Times New Roman"/>
    <w:panose1 w:val="00000000000000000000"/>
    <w:charset w:val="00"/>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BD" w:rsidRDefault="00B969BD">
    <w:pPr>
      <w:pStyle w:val="Footer"/>
      <w:rPr>
        <w:rFonts w:ascii="Minion" w:hAnsi="Minion"/>
        <w:sz w:val="22"/>
      </w:rPr>
    </w:pPr>
    <w:r>
      <w:rPr>
        <w:rFonts w:ascii="Minion" w:hAnsi="Minion"/>
        <w:sz w:val="22"/>
      </w:rPr>
      <w:t xml:space="preserve">            </w:t>
    </w:r>
    <w:r>
      <w:rPr>
        <w:rFonts w:ascii="Minion" w:hAnsi="Minion"/>
        <w:noProof/>
        <w:sz w:val="22"/>
      </w:rPr>
      <w:drawing>
        <wp:inline distT="0" distB="0" distL="0" distR="0">
          <wp:extent cx="5033010" cy="121285"/>
          <wp:effectExtent l="0" t="0" r="0" b="0"/>
          <wp:docPr id="2" name="Picture 2" descr="FOOTER B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A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3010" cy="1212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83" w:rsidRDefault="00AE1B83">
      <w:r>
        <w:separator/>
      </w:r>
    </w:p>
  </w:footnote>
  <w:footnote w:type="continuationSeparator" w:id="0">
    <w:p w:rsidR="00AE1B83" w:rsidRDefault="00AE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BD" w:rsidRDefault="00B969BD">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BD" w:rsidRDefault="00B969BD">
    <w:pPr>
      <w:pStyle w:val="Header"/>
    </w:pPr>
    <w:r>
      <w:rPr>
        <w:noProof/>
      </w:rPr>
      <w:drawing>
        <wp:inline distT="0" distB="0" distL="0" distR="0">
          <wp:extent cx="5947410" cy="817245"/>
          <wp:effectExtent l="0" t="0" r="0" b="1905"/>
          <wp:docPr id="1" name="Picture 1" descr="header b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ba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17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97"/>
    <w:rsid w:val="001B0E95"/>
    <w:rsid w:val="00351A97"/>
    <w:rsid w:val="00385293"/>
    <w:rsid w:val="004F538B"/>
    <w:rsid w:val="007A2A20"/>
    <w:rsid w:val="00916E6D"/>
    <w:rsid w:val="00AE1B83"/>
    <w:rsid w:val="00B837A0"/>
    <w:rsid w:val="00B969BD"/>
    <w:rsid w:val="00D61809"/>
    <w:rsid w:val="00E13182"/>
    <w:rsid w:val="00F2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uiPriority w:val="99"/>
    <w:semiHidden/>
    <w:unhideWhenUsed/>
    <w:rsid w:val="00B969BD"/>
    <w:rPr>
      <w:rFonts w:ascii="Tahoma" w:hAnsi="Tahoma" w:cs="Tahoma"/>
      <w:sz w:val="16"/>
      <w:szCs w:val="16"/>
    </w:rPr>
  </w:style>
  <w:style w:type="character" w:customStyle="1" w:styleId="BalloonTextChar">
    <w:name w:val="Balloon Text Char"/>
    <w:basedOn w:val="DefaultParagraphFont"/>
    <w:link w:val="BalloonText"/>
    <w:uiPriority w:val="99"/>
    <w:semiHidden/>
    <w:rsid w:val="00B969BD"/>
    <w:rPr>
      <w:rFonts w:ascii="Tahoma" w:hAnsi="Tahoma" w:cs="Tahoma"/>
      <w:sz w:val="16"/>
      <w:szCs w:val="16"/>
    </w:rPr>
  </w:style>
  <w:style w:type="character" w:styleId="Hyperlink">
    <w:name w:val="Hyperlink"/>
    <w:basedOn w:val="DefaultParagraphFont"/>
    <w:uiPriority w:val="99"/>
    <w:unhideWhenUsed/>
    <w:rsid w:val="00916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uiPriority w:val="99"/>
    <w:semiHidden/>
    <w:unhideWhenUsed/>
    <w:rsid w:val="00B969BD"/>
    <w:rPr>
      <w:rFonts w:ascii="Tahoma" w:hAnsi="Tahoma" w:cs="Tahoma"/>
      <w:sz w:val="16"/>
      <w:szCs w:val="16"/>
    </w:rPr>
  </w:style>
  <w:style w:type="character" w:customStyle="1" w:styleId="BalloonTextChar">
    <w:name w:val="Balloon Text Char"/>
    <w:basedOn w:val="DefaultParagraphFont"/>
    <w:link w:val="BalloonText"/>
    <w:uiPriority w:val="99"/>
    <w:semiHidden/>
    <w:rsid w:val="00B969BD"/>
    <w:rPr>
      <w:rFonts w:ascii="Tahoma" w:hAnsi="Tahoma" w:cs="Tahoma"/>
      <w:sz w:val="16"/>
      <w:szCs w:val="16"/>
    </w:rPr>
  </w:style>
  <w:style w:type="character" w:styleId="Hyperlink">
    <w:name w:val="Hyperlink"/>
    <w:basedOn w:val="DefaultParagraphFont"/>
    <w:uiPriority w:val="99"/>
    <w:unhideWhenUsed/>
    <w:rsid w:val="00916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th.Bramblett@bea.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CEE04680.dotm</Template>
  <TotalTime>1</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BEA</Company>
  <LinksUpToDate>false</LinksUpToDate>
  <CharactersWithSpaces>3612</CharactersWithSpaces>
  <SharedDoc>false</SharedDoc>
  <HLinks>
    <vt:vector size="12" baseType="variant">
      <vt:variant>
        <vt:i4>7405674</vt:i4>
      </vt:variant>
      <vt:variant>
        <vt:i4>1033</vt:i4>
      </vt:variant>
      <vt:variant>
        <vt:i4>1025</vt:i4>
      </vt:variant>
      <vt:variant>
        <vt:i4>1</vt:i4>
      </vt:variant>
      <vt:variant>
        <vt:lpwstr>header bar.tif</vt:lpwstr>
      </vt:variant>
      <vt:variant>
        <vt:lpwstr/>
      </vt:variant>
      <vt:variant>
        <vt:i4>7012458</vt:i4>
      </vt:variant>
      <vt:variant>
        <vt:i4>1048</vt:i4>
      </vt:variant>
      <vt:variant>
        <vt:i4>1026</vt:i4>
      </vt:variant>
      <vt:variant>
        <vt:i4>1</vt:i4>
      </vt:variant>
      <vt:variant>
        <vt:lpwstr>FOOTER BAR.tif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Vojtech</dc:creator>
  <cp:lastModifiedBy>Mason</cp:lastModifiedBy>
  <cp:revision>2</cp:revision>
  <cp:lastPrinted>2005-07-20T16:38:00Z</cp:lastPrinted>
  <dcterms:created xsi:type="dcterms:W3CDTF">2012-04-17T19:20:00Z</dcterms:created>
  <dcterms:modified xsi:type="dcterms:W3CDTF">2012-04-17T19:20:00Z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-1532797479</vt:i4>
  </property>
  <property fmtid="{D5CDD505-2E9C-101B-9397-08002B2CF9AE}" pid="3" name="_NewReviewCycle">
    <vt:lpwstr/>
  </property>
  <property fmtid="{D5CDD505-2E9C-101B-9397-08002B2CF9AE}" pid="4" name="_EmailSubject">
    <vt:lpwstr>BEA Letter of Support for the Quarterly Services Survey</vt:lpwstr>
  </property>
  <property fmtid="{D5CDD505-2E9C-101B-9397-08002B2CF9AE}" pid="5" name="_AuthorEmail">
    <vt:lpwstr>Ruth.Bramblett@bea.gov</vt:lpwstr>
  </property>
  <property fmtid="{D5CDD505-2E9C-101B-9397-08002B2CF9AE}" pid="6" name="_AuthorEmailDisplayName">
    <vt:lpwstr>Bramblett, Ruth</vt:lpwstr>
  </property>
  <property fmtid="{D5CDD505-2E9C-101B-9397-08002B2CF9AE}" pid="7" name="_PreviousAdHocReviewCycleID">
    <vt:i4>-1580810651</vt:i4>
  </property>
  <property fmtid="{D5CDD505-2E9C-101B-9397-08002B2CF9AE}" pid="8" name="_ReviewingToolsShownOnce">
    <vt:lpwstr/>
  </property>
</Properties>
</file>