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49C1" w:rsidR="004D49C1" w:rsidP="004D49C1" w:rsidRDefault="004D49C1" w14:paraId="0EB22BE1" w14:textId="77777777">
      <w:pPr>
        <w:pStyle w:val="Header"/>
        <w:jc w:val="center"/>
        <w:rPr>
          <w:rFonts w:ascii="Arial" w:hAnsi="Arial" w:cs="Arial"/>
          <w:b/>
        </w:rPr>
      </w:pPr>
      <w:r>
        <w:rPr>
          <w:rFonts w:ascii="Arial" w:hAnsi="Arial" w:cs="Arial"/>
          <w:b/>
        </w:rPr>
        <w:t xml:space="preserve">SUPPORTING STATEMENT </w:t>
      </w:r>
    </w:p>
    <w:p w:rsidR="000A3F7A" w:rsidP="000A3F7A" w:rsidRDefault="000A3F7A" w14:paraId="7B5300F9" w14:textId="77777777">
      <w:pPr>
        <w:pStyle w:val="Header"/>
        <w:jc w:val="center"/>
        <w:rPr>
          <w:rFonts w:ascii="Arial" w:hAnsi="Arial" w:cs="Arial"/>
          <w:b/>
        </w:rPr>
      </w:pPr>
      <w:r w:rsidRPr="000A3F7A">
        <w:rPr>
          <w:rFonts w:ascii="Arial" w:hAnsi="Arial" w:cs="Arial"/>
          <w:b/>
        </w:rPr>
        <w:t xml:space="preserve">Application for Assumption Approval and/or Release from Personal Liability </w:t>
      </w:r>
    </w:p>
    <w:p w:rsidRPr="000A3F7A" w:rsidR="000A3F7A" w:rsidP="000A3F7A" w:rsidRDefault="000A3F7A" w14:paraId="50C8621D" w14:textId="7B8A14F5">
      <w:pPr>
        <w:pStyle w:val="Header"/>
        <w:jc w:val="center"/>
        <w:rPr>
          <w:rFonts w:ascii="Arial" w:hAnsi="Arial" w:cs="Arial"/>
          <w:b/>
        </w:rPr>
      </w:pPr>
      <w:r w:rsidRPr="000A3F7A">
        <w:rPr>
          <w:rFonts w:ascii="Arial" w:hAnsi="Arial" w:cs="Arial"/>
          <w:b/>
        </w:rPr>
        <w:t>to the Government on a Home Loan</w:t>
      </w:r>
    </w:p>
    <w:p w:rsidR="004D49C1" w:rsidP="004D49C1" w:rsidRDefault="004D49C1" w14:paraId="06AA9AD7" w14:textId="17ECE946">
      <w:pPr>
        <w:pStyle w:val="Header"/>
        <w:jc w:val="center"/>
        <w:rPr>
          <w:rFonts w:ascii="Arial" w:hAnsi="Arial" w:cs="Arial"/>
          <w:b/>
        </w:rPr>
      </w:pPr>
      <w:r w:rsidRPr="004D49C1">
        <w:rPr>
          <w:rFonts w:ascii="Arial" w:hAnsi="Arial" w:cs="Arial"/>
          <w:b/>
        </w:rPr>
        <w:t>OMB 2900-0</w:t>
      </w:r>
      <w:r w:rsidR="000A3F7A">
        <w:rPr>
          <w:rFonts w:ascii="Arial" w:hAnsi="Arial" w:cs="Arial"/>
          <w:b/>
        </w:rPr>
        <w:t>110</w:t>
      </w:r>
    </w:p>
    <w:p w:rsidRPr="004D49C1" w:rsidR="004D49C1" w:rsidP="004D49C1" w:rsidRDefault="004D49C1" w14:paraId="5A02CED2" w14:textId="2D46ECD9">
      <w:pPr>
        <w:pStyle w:val="Header"/>
        <w:jc w:val="center"/>
        <w:rPr>
          <w:rFonts w:ascii="Arial" w:hAnsi="Arial" w:cs="Arial"/>
          <w:b/>
        </w:rPr>
      </w:pPr>
      <w:r w:rsidRPr="004D49C1">
        <w:rPr>
          <w:rFonts w:ascii="Arial" w:hAnsi="Arial" w:cs="Arial"/>
          <w:b/>
        </w:rPr>
        <w:t>VA Form 26-</w:t>
      </w:r>
      <w:r w:rsidR="000A3F7A">
        <w:rPr>
          <w:rFonts w:ascii="Arial" w:hAnsi="Arial" w:cs="Arial"/>
          <w:b/>
        </w:rPr>
        <w:t>6381</w:t>
      </w:r>
    </w:p>
    <w:p w:rsidR="002F68E9" w:rsidRDefault="002F68E9" w14:paraId="403893D9" w14:textId="77777777">
      <w:pPr>
        <w:tabs>
          <w:tab w:val="left" w:pos="480"/>
          <w:tab w:val="right" w:pos="8640"/>
        </w:tabs>
        <w:ind w:right="684"/>
      </w:pPr>
    </w:p>
    <w:p w:rsidRPr="004D49C1" w:rsidR="00A23DF4" w:rsidP="003A4449" w:rsidRDefault="002F68E9" w14:paraId="215985B3" w14:textId="4D41C24A">
      <w:pPr>
        <w:tabs>
          <w:tab w:val="left" w:pos="480"/>
          <w:tab w:val="left" w:pos="6639"/>
        </w:tabs>
        <w:ind w:right="684"/>
        <w:rPr>
          <w:rFonts w:ascii="Arial" w:hAnsi="Arial" w:cs="Arial"/>
          <w:b/>
          <w:bCs/>
          <w:szCs w:val="24"/>
        </w:rPr>
      </w:pPr>
      <w:r w:rsidRPr="004D49C1">
        <w:rPr>
          <w:rFonts w:ascii="Arial" w:hAnsi="Arial" w:cs="Arial"/>
          <w:b/>
          <w:bCs/>
          <w:szCs w:val="24"/>
        </w:rPr>
        <w:t xml:space="preserve">A.  </w:t>
      </w:r>
      <w:r w:rsidRPr="004D49C1">
        <w:rPr>
          <w:rFonts w:ascii="Arial" w:hAnsi="Arial" w:cs="Arial"/>
          <w:b/>
          <w:bCs/>
          <w:szCs w:val="24"/>
          <w:u w:val="single"/>
        </w:rPr>
        <w:t>Justification</w:t>
      </w:r>
      <w:r w:rsidRPr="004D49C1" w:rsidR="00FC15DE">
        <w:rPr>
          <w:rFonts w:ascii="Arial" w:hAnsi="Arial" w:cs="Arial"/>
          <w:b/>
          <w:bCs/>
          <w:szCs w:val="24"/>
        </w:rPr>
        <w:tab/>
      </w:r>
    </w:p>
    <w:p w:rsidRPr="004D49C1" w:rsidR="003A4449" w:rsidP="003A4449" w:rsidRDefault="003A4449" w14:paraId="6EC77E47" w14:textId="77777777">
      <w:pPr>
        <w:tabs>
          <w:tab w:val="left" w:pos="480"/>
          <w:tab w:val="left" w:pos="6639"/>
        </w:tabs>
        <w:ind w:right="684"/>
        <w:rPr>
          <w:rFonts w:ascii="Arial" w:hAnsi="Arial" w:cs="Arial"/>
          <w:szCs w:val="24"/>
        </w:rPr>
      </w:pPr>
    </w:p>
    <w:p w:rsidRPr="004D49C1" w:rsidR="00A23DF4" w:rsidP="004D49C1" w:rsidRDefault="00A23DF4" w14:paraId="6B5B1C4C" w14:textId="7CA2F710">
      <w:pPr>
        <w:pStyle w:val="Heading2"/>
        <w:numPr>
          <w:ilvl w:val="0"/>
          <w:numId w:val="16"/>
        </w:numPr>
        <w:jc w:val="both"/>
        <w:rPr>
          <w:rFonts w:ascii="Arial" w:hAnsi="Arial" w:cs="Arial"/>
          <w:szCs w:val="24"/>
        </w:rPr>
      </w:pPr>
      <w:r w:rsidRPr="004D49C1">
        <w:rPr>
          <w:rFonts w:ascii="Arial" w:hAnsi="Arial" w:cs="Arial"/>
          <w:szCs w:val="24"/>
        </w:rPr>
        <w:t>Explain the circumstances that make the collection of information necessary.  Identify legal or administrative requirements that necessitate the collection of information.</w:t>
      </w:r>
    </w:p>
    <w:p w:rsidRPr="000A3F7A" w:rsidR="000A3F7A" w:rsidP="000A3F7A" w:rsidRDefault="000A3F7A" w14:paraId="6D8493E2" w14:textId="77777777">
      <w:pPr>
        <w:pStyle w:val="List2"/>
        <w:ind w:left="360" w:firstLine="0"/>
        <w:rPr>
          <w:rFonts w:ascii="Arial" w:hAnsi="Arial" w:cs="Arial"/>
        </w:rPr>
      </w:pPr>
      <w:r w:rsidRPr="000A3F7A">
        <w:rPr>
          <w:rFonts w:ascii="Arial" w:hAnsi="Arial" w:cs="Arial"/>
        </w:rPr>
        <w:t>VA Form 26-6381 is completed by Veterans who are selling their homes by assumption rather than requiring purchasers to obtain their own financing to pay off the loan.  The data furnished on the form is essential to determinations for assumption approval, release of liability, and substitution of entitlement in accordance with 38 U.S.C. 3713(a) and 3714 and 3702(b)(2).</w:t>
      </w:r>
    </w:p>
    <w:p w:rsidRPr="000A3F7A" w:rsidR="000A3F7A" w:rsidP="000A3F7A" w:rsidRDefault="000A3F7A" w14:paraId="122A3E7D" w14:textId="77777777">
      <w:pPr>
        <w:pStyle w:val="List2"/>
        <w:ind w:left="360"/>
        <w:rPr>
          <w:rFonts w:ascii="Arial" w:hAnsi="Arial" w:cs="Arial"/>
        </w:rPr>
      </w:pPr>
    </w:p>
    <w:p w:rsidRPr="000A3F7A" w:rsidR="000A3F7A" w:rsidP="000A3F7A" w:rsidRDefault="000A3F7A" w14:paraId="79ABFEC6" w14:textId="77777777">
      <w:pPr>
        <w:pStyle w:val="List2"/>
        <w:ind w:left="360" w:firstLine="0"/>
        <w:rPr>
          <w:rFonts w:ascii="Arial" w:hAnsi="Arial" w:cs="Arial"/>
        </w:rPr>
      </w:pPr>
      <w:r w:rsidRPr="000A3F7A">
        <w:rPr>
          <w:rFonts w:ascii="Arial" w:hAnsi="Arial" w:cs="Arial"/>
        </w:rPr>
        <w:t xml:space="preserve">VA processes requests for assumption approvals in a manner </w:t>
      </w:r>
      <w:proofErr w:type="gramStart"/>
      <w:r w:rsidRPr="000A3F7A">
        <w:rPr>
          <w:rFonts w:ascii="Arial" w:hAnsi="Arial" w:cs="Arial"/>
        </w:rPr>
        <w:t>similar to</w:t>
      </w:r>
      <w:proofErr w:type="gramEnd"/>
      <w:r w:rsidRPr="000A3F7A">
        <w:rPr>
          <w:rFonts w:ascii="Arial" w:hAnsi="Arial" w:cs="Arial"/>
        </w:rPr>
        <w:t xml:space="preserve"> that used for releases of liability.  Title 38 U.S.C., section 37l3(a) provides that when a Veteran disposes of his or her interest in the property securing the loan, VA may, upon request, release the original Veteran-borrower from personal liability to the Government only if three requirements are fulfilled.  First, the loan must be current.  Second, the purchaser must assume </w:t>
      </w:r>
      <w:proofErr w:type="gramStart"/>
      <w:r w:rsidRPr="000A3F7A">
        <w:rPr>
          <w:rFonts w:ascii="Arial" w:hAnsi="Arial" w:cs="Arial"/>
        </w:rPr>
        <w:t>all of</w:t>
      </w:r>
      <w:proofErr w:type="gramEnd"/>
      <w:r w:rsidRPr="000A3F7A">
        <w:rPr>
          <w:rFonts w:ascii="Arial" w:hAnsi="Arial" w:cs="Arial"/>
        </w:rPr>
        <w:t xml:space="preserve"> the Veteran's liability to the Government and to the mortgage holder on the guaranteed loan.  Third, the purchaser must qualify from a credit and income standpoint, to the same extent as if he or she were a Veteran applying for a VA-guaranteed loan in the same amount as the loan being assumed.</w:t>
      </w:r>
    </w:p>
    <w:p w:rsidRPr="000A3F7A" w:rsidR="000A3F7A" w:rsidP="000A3F7A" w:rsidRDefault="000A3F7A" w14:paraId="5659E911" w14:textId="77777777">
      <w:pPr>
        <w:pStyle w:val="List2"/>
        <w:ind w:left="360"/>
        <w:rPr>
          <w:rFonts w:ascii="Arial" w:hAnsi="Arial" w:cs="Arial"/>
        </w:rPr>
      </w:pPr>
    </w:p>
    <w:p w:rsidR="003F5CBF" w:rsidP="000A3F7A" w:rsidRDefault="000A3F7A" w14:paraId="2B0A0CE7" w14:textId="3C52768A">
      <w:pPr>
        <w:pStyle w:val="List2"/>
        <w:ind w:left="360" w:firstLine="0"/>
        <w:rPr>
          <w:rFonts w:ascii="Arial" w:hAnsi="Arial" w:cs="Arial"/>
        </w:rPr>
      </w:pPr>
      <w:r w:rsidRPr="000A3F7A">
        <w:rPr>
          <w:rFonts w:ascii="Arial" w:hAnsi="Arial" w:cs="Arial"/>
        </w:rPr>
        <w:t xml:space="preserve">In substitution of entitlement cases, the Veteran-seller may have used all or part of their entitlement and to get that entitlement restored to purchase another home, the Veteran-transferee (buyer) must agree to "substitute" his or her entitlement for the same amount of entitlement the Veteran originally used to get the loan.  The buyer must also meet the occupancy and income and credit requirements of the law.  </w:t>
      </w:r>
    </w:p>
    <w:p w:rsidRPr="004D49C1" w:rsidR="000A3F7A" w:rsidP="000A3F7A" w:rsidRDefault="000A3F7A" w14:paraId="429A7183" w14:textId="77777777">
      <w:pPr>
        <w:pStyle w:val="List2"/>
        <w:ind w:left="360" w:firstLine="0"/>
        <w:rPr>
          <w:rFonts w:ascii="Arial" w:hAnsi="Arial" w:cs="Arial"/>
        </w:rPr>
      </w:pPr>
    </w:p>
    <w:p w:rsidRPr="004D49C1" w:rsidR="00A23DF4" w:rsidP="004D49C1" w:rsidRDefault="00A23DF4" w14:paraId="52A1F350" w14:textId="6E2DDEB4">
      <w:pPr>
        <w:pStyle w:val="Heading2"/>
        <w:numPr>
          <w:ilvl w:val="0"/>
          <w:numId w:val="16"/>
        </w:numPr>
        <w:jc w:val="both"/>
        <w:rPr>
          <w:rFonts w:ascii="Arial" w:hAnsi="Arial" w:cs="Arial"/>
          <w:szCs w:val="24"/>
        </w:rPr>
      </w:pPr>
      <w:r w:rsidRPr="004D49C1">
        <w:rPr>
          <w:rFonts w:ascii="Arial" w:hAnsi="Arial" w:cs="Arial"/>
          <w:szCs w:val="24"/>
        </w:rPr>
        <w:t>Indicate how, by whom, and for what purposes the information is to be used; indicate actual use the agency has made of the information received from current collection.</w:t>
      </w:r>
    </w:p>
    <w:p w:rsidRPr="004D49C1" w:rsidR="002F68E9" w:rsidP="000A3F7A" w:rsidRDefault="000A3F7A" w14:paraId="6148CE99" w14:textId="647DA65A">
      <w:pPr>
        <w:pStyle w:val="BodyText2"/>
        <w:ind w:left="360"/>
        <w:jc w:val="both"/>
        <w:rPr>
          <w:rFonts w:cs="Arial"/>
          <w:szCs w:val="24"/>
        </w:rPr>
      </w:pPr>
      <w:r w:rsidRPr="000A3F7A">
        <w:rPr>
          <w:rFonts w:cs="Arial"/>
          <w:szCs w:val="24"/>
        </w:rPr>
        <w:t>Once VA is notified that a sale by assumption is pending or has been completed, and that the Veteran-seller seeks approval for the assumption and/or wishes to be released from personal liability and/or have his or her entitlement restored by substitution of entitlement, VA will send VA Form 26-6381 as part of a package for completion.  The information collected on VA Form 26-6381 enables VA Loan Specialists to begin processing the Veteran's request and ultimately make a final determination of approval or disapproval.</w:t>
      </w:r>
    </w:p>
    <w:p w:rsidRPr="004D49C1" w:rsidR="00A23DF4" w:rsidP="00F85A8B" w:rsidRDefault="00A23DF4" w14:paraId="642A1F46" w14:textId="77777777">
      <w:pPr>
        <w:pStyle w:val="Heading2"/>
        <w:jc w:val="both"/>
        <w:rPr>
          <w:rFonts w:ascii="Arial" w:hAnsi="Arial" w:cs="Arial"/>
          <w:szCs w:val="24"/>
        </w:rPr>
      </w:pPr>
      <w:r w:rsidRPr="004D49C1">
        <w:rPr>
          <w:rFonts w:ascii="Arial" w:hAnsi="Arial" w:cs="Arial"/>
          <w:szCs w:val="24"/>
        </w:rPr>
        <w:lastRenderedPageBreak/>
        <w:t>3.</w:t>
      </w:r>
      <w:r w:rsidRPr="004D49C1">
        <w:rPr>
          <w:rFonts w:ascii="Arial" w:hAnsi="Arial" w:cs="Arial"/>
          <w:szCs w:val="24"/>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Pr="004D49C1" w:rsidR="008774D0" w:rsidP="000A3F7A" w:rsidRDefault="003F5CBF" w14:paraId="38B87D5E" w14:textId="4363B026">
      <w:pPr>
        <w:pStyle w:val="List2"/>
        <w:ind w:left="0" w:firstLine="0"/>
        <w:rPr>
          <w:rFonts w:ascii="Arial" w:hAnsi="Arial" w:cs="Arial"/>
        </w:rPr>
      </w:pPr>
      <w:r w:rsidRPr="004D49C1">
        <w:rPr>
          <w:rFonts w:ascii="Arial" w:hAnsi="Arial" w:cs="Arial"/>
        </w:rPr>
        <w:t xml:space="preserve">This form is available in a fillable electronic format on the One VA forms website at </w:t>
      </w:r>
      <w:hyperlink w:history="1" r:id="rId8">
        <w:r w:rsidRPr="004D49C1">
          <w:rPr>
            <w:rStyle w:val="Hyperlink"/>
            <w:rFonts w:ascii="Arial" w:hAnsi="Arial" w:cs="Arial"/>
          </w:rPr>
          <w:t>http://www.va.gov/vaforms</w:t>
        </w:r>
      </w:hyperlink>
      <w:r w:rsidRPr="004D49C1">
        <w:rPr>
          <w:rFonts w:ascii="Arial" w:hAnsi="Arial" w:cs="Arial"/>
        </w:rPr>
        <w:t xml:space="preserve">.  VA has not developed an information technology solution for receiving this form because of its limited use.  As such, an electronic submission system is not cost beneficial to the government at this time. </w:t>
      </w:r>
    </w:p>
    <w:p w:rsidRPr="004D49C1" w:rsidR="002F68E9" w:rsidP="00F85A8B" w:rsidRDefault="002F68E9" w14:paraId="1DDA07E5" w14:textId="77777777">
      <w:pPr>
        <w:tabs>
          <w:tab w:val="left" w:pos="480"/>
          <w:tab w:val="right" w:pos="8640"/>
        </w:tabs>
        <w:ind w:right="684"/>
        <w:jc w:val="both"/>
        <w:rPr>
          <w:rFonts w:ascii="Arial" w:hAnsi="Arial" w:cs="Arial"/>
          <w:szCs w:val="24"/>
        </w:rPr>
      </w:pPr>
    </w:p>
    <w:p w:rsidRPr="004D49C1" w:rsidR="00A23DF4" w:rsidP="00F85A8B" w:rsidRDefault="00A23DF4" w14:paraId="4BD533AE" w14:textId="77777777">
      <w:pPr>
        <w:pStyle w:val="Heading2"/>
        <w:jc w:val="both"/>
        <w:rPr>
          <w:rFonts w:ascii="Arial" w:hAnsi="Arial" w:cs="Arial"/>
          <w:szCs w:val="24"/>
        </w:rPr>
      </w:pPr>
      <w:r w:rsidRPr="004D49C1">
        <w:rPr>
          <w:rFonts w:ascii="Arial" w:hAnsi="Arial" w:cs="Arial"/>
          <w:szCs w:val="24"/>
        </w:rPr>
        <w:t>4.</w:t>
      </w:r>
      <w:r w:rsidRPr="004D49C1">
        <w:rPr>
          <w:rFonts w:ascii="Arial" w:hAnsi="Arial" w:cs="Arial"/>
          <w:szCs w:val="24"/>
        </w:rPr>
        <w:tab/>
        <w:t>Describe efforts to identify duplication.  Show specifically why any similar information already available cannot be used or modified for use for the purposes described in Item 2 above.</w:t>
      </w:r>
    </w:p>
    <w:p w:rsidRPr="004D49C1" w:rsidR="002F68E9" w:rsidP="00F85A8B" w:rsidRDefault="009C0211" w14:paraId="1A69140A" w14:textId="02D22A4C">
      <w:pPr>
        <w:tabs>
          <w:tab w:val="left" w:pos="480"/>
          <w:tab w:val="right" w:pos="8640"/>
        </w:tabs>
        <w:ind w:right="684"/>
        <w:jc w:val="both"/>
        <w:rPr>
          <w:rFonts w:ascii="Arial" w:hAnsi="Arial" w:cs="Arial"/>
          <w:szCs w:val="24"/>
        </w:rPr>
      </w:pPr>
      <w:r w:rsidRPr="004D49C1">
        <w:rPr>
          <w:rFonts w:ascii="Arial" w:hAnsi="Arial" w:cs="Arial"/>
          <w:szCs w:val="24"/>
        </w:rPr>
        <w:t>Program reviews were conducted to identify potential areas of duplication; however, none were found to exist.  There is no known Department or Agency which maintains the necessary information, nor is it available from other sources within our Department.</w:t>
      </w:r>
    </w:p>
    <w:p w:rsidRPr="004D49C1" w:rsidR="009C0211" w:rsidP="00F85A8B" w:rsidRDefault="009C0211" w14:paraId="53AD4ED2" w14:textId="77777777">
      <w:pPr>
        <w:tabs>
          <w:tab w:val="left" w:pos="480"/>
          <w:tab w:val="right" w:pos="8640"/>
        </w:tabs>
        <w:ind w:right="684"/>
        <w:jc w:val="both"/>
        <w:rPr>
          <w:rFonts w:ascii="Arial" w:hAnsi="Arial" w:cs="Arial"/>
          <w:szCs w:val="24"/>
        </w:rPr>
      </w:pPr>
    </w:p>
    <w:p w:rsidRPr="004D49C1" w:rsidR="00A23DF4" w:rsidP="00F85A8B" w:rsidRDefault="00A23DF4" w14:paraId="18B97139" w14:textId="77777777">
      <w:pPr>
        <w:pStyle w:val="Heading2"/>
        <w:jc w:val="both"/>
        <w:rPr>
          <w:rFonts w:ascii="Arial" w:hAnsi="Arial" w:cs="Arial"/>
          <w:szCs w:val="24"/>
        </w:rPr>
      </w:pPr>
      <w:r w:rsidRPr="004D49C1">
        <w:rPr>
          <w:rFonts w:ascii="Arial" w:hAnsi="Arial" w:cs="Arial"/>
          <w:szCs w:val="24"/>
        </w:rPr>
        <w:t>5.</w:t>
      </w:r>
      <w:r w:rsidRPr="004D49C1">
        <w:rPr>
          <w:rFonts w:ascii="Arial" w:hAnsi="Arial" w:cs="Arial"/>
          <w:szCs w:val="24"/>
        </w:rPr>
        <w:tab/>
        <w:t>If the collection of information impacts small businesses or other small entities, describe any methods used to minimize burden.</w:t>
      </w:r>
    </w:p>
    <w:p w:rsidRPr="004D49C1" w:rsidR="00271073" w:rsidP="00F85A8B" w:rsidRDefault="009C0211" w14:paraId="628D8FE2" w14:textId="428C4092">
      <w:pPr>
        <w:tabs>
          <w:tab w:val="left" w:pos="480"/>
          <w:tab w:val="right" w:pos="8640"/>
        </w:tabs>
        <w:ind w:right="684"/>
        <w:jc w:val="both"/>
        <w:rPr>
          <w:rFonts w:ascii="Arial" w:hAnsi="Arial" w:cs="Arial"/>
          <w:szCs w:val="24"/>
        </w:rPr>
      </w:pPr>
      <w:r w:rsidRPr="004D49C1">
        <w:rPr>
          <w:rFonts w:ascii="Arial" w:hAnsi="Arial" w:cs="Arial"/>
          <w:szCs w:val="24"/>
        </w:rPr>
        <w:t>The collection of information does not involve small businesses or entities.</w:t>
      </w:r>
    </w:p>
    <w:p w:rsidRPr="004D49C1" w:rsidR="00271073" w:rsidP="00F85A8B" w:rsidRDefault="00271073" w14:paraId="0172D58D" w14:textId="77777777">
      <w:pPr>
        <w:pStyle w:val="ListParagraph"/>
        <w:jc w:val="both"/>
        <w:rPr>
          <w:rFonts w:ascii="Arial" w:hAnsi="Arial" w:cs="Arial"/>
          <w:szCs w:val="24"/>
        </w:rPr>
      </w:pPr>
    </w:p>
    <w:p w:rsidRPr="004D49C1" w:rsidR="00A23DF4" w:rsidP="00F85A8B" w:rsidRDefault="00A23DF4" w14:paraId="7E8B58A3" w14:textId="77777777">
      <w:pPr>
        <w:pStyle w:val="Heading2"/>
        <w:jc w:val="both"/>
        <w:rPr>
          <w:rFonts w:ascii="Arial" w:hAnsi="Arial" w:cs="Arial"/>
          <w:szCs w:val="24"/>
        </w:rPr>
      </w:pPr>
      <w:r w:rsidRPr="004D49C1">
        <w:rPr>
          <w:rFonts w:ascii="Arial" w:hAnsi="Arial" w:cs="Arial"/>
          <w:szCs w:val="24"/>
        </w:rPr>
        <w:t>6.</w:t>
      </w:r>
      <w:r w:rsidRPr="004D49C1">
        <w:rPr>
          <w:rFonts w:ascii="Arial" w:hAnsi="Arial" w:cs="Arial"/>
          <w:szCs w:val="24"/>
        </w:rPr>
        <w:tab/>
        <w:t>Describe the consequences to Federal program or policy activities if the collection is not conducted or is conducted less frequently as well as any technical or legal obstacles to reducing burden.</w:t>
      </w:r>
    </w:p>
    <w:p w:rsidR="000A3F7A" w:rsidP="00F85A8B" w:rsidRDefault="000A3F7A" w14:paraId="504219F9" w14:textId="77777777">
      <w:pPr>
        <w:rPr>
          <w:rFonts w:ascii="Arial" w:hAnsi="Arial" w:cs="Arial"/>
          <w:szCs w:val="24"/>
        </w:rPr>
      </w:pPr>
      <w:r w:rsidRPr="000A3F7A">
        <w:rPr>
          <w:rFonts w:ascii="Arial" w:hAnsi="Arial" w:cs="Arial"/>
          <w:szCs w:val="24"/>
        </w:rPr>
        <w:t>The information collected on this form is completed by Veterans who are selling their homes by assumption.  The data furnished on this form is essential to VA in determining approval under 38 USC 3713.  The collection is generally conducted only once.</w:t>
      </w:r>
    </w:p>
    <w:p w:rsidRPr="004D49C1" w:rsidR="00A23DF4" w:rsidP="00F85A8B" w:rsidRDefault="002F68E9" w14:paraId="0CCF3E2F" w14:textId="5B8D2144">
      <w:pPr>
        <w:rPr>
          <w:rFonts w:ascii="Arial" w:hAnsi="Arial" w:cs="Arial"/>
          <w:szCs w:val="24"/>
        </w:rPr>
      </w:pPr>
      <w:r w:rsidRPr="004D49C1">
        <w:rPr>
          <w:rFonts w:ascii="Arial" w:hAnsi="Arial" w:cs="Arial"/>
          <w:szCs w:val="24"/>
        </w:rPr>
        <w:t xml:space="preserve">  </w:t>
      </w:r>
    </w:p>
    <w:p w:rsidRPr="004D49C1" w:rsidR="00A23DF4" w:rsidP="00A23DF4" w:rsidRDefault="00A23DF4" w14:paraId="059144DB" w14:textId="77777777">
      <w:pPr>
        <w:pStyle w:val="Heading2"/>
        <w:rPr>
          <w:rFonts w:ascii="Arial" w:hAnsi="Arial" w:cs="Arial"/>
          <w:szCs w:val="24"/>
        </w:rPr>
      </w:pPr>
      <w:r w:rsidRPr="004D49C1">
        <w:rPr>
          <w:rFonts w:ascii="Arial" w:hAnsi="Arial" w:cs="Arial"/>
          <w:szCs w:val="24"/>
        </w:rPr>
        <w:t>7.</w:t>
      </w:r>
      <w:r w:rsidRPr="004D49C1">
        <w:rPr>
          <w:rFonts w:ascii="Arial" w:hAnsi="Arial" w:cs="Arial"/>
          <w:szCs w:val="24"/>
        </w:rPr>
        <w:tab/>
        <w:t>Explain any special circumstances that would cause an information collection to be conducted more often than quarterly or require respondents to prepare written responses to a collection of information in fewer than 30 days after receipt of it; submit more than an original and two copies of any document; retain records, other than health, medical, government contract, grant-in-aid, or tax records for more than three years; in connection with a statistical survey that is not designed to produce valid and reliable results that can be generalized to the universe of study and require the use of a statistical data classification that has not been reviewed and approved by OMB.</w:t>
      </w:r>
    </w:p>
    <w:p w:rsidRPr="004D49C1" w:rsidR="00271073" w:rsidP="00271073" w:rsidRDefault="003F5CBF" w14:paraId="3D2F01F8" w14:textId="0218D917">
      <w:pPr>
        <w:rPr>
          <w:rFonts w:ascii="Arial" w:hAnsi="Arial" w:cs="Arial"/>
          <w:szCs w:val="24"/>
        </w:rPr>
      </w:pPr>
      <w:r w:rsidRPr="004D49C1">
        <w:rPr>
          <w:rFonts w:ascii="Arial" w:hAnsi="Arial" w:cs="Arial"/>
          <w:szCs w:val="24"/>
        </w:rPr>
        <w:t>There are no special circumstances that require the collection to be conducted in a manner that is inconsistent with the guidelines in 5 CFR 1320.6.</w:t>
      </w:r>
    </w:p>
    <w:p w:rsidRPr="004D49C1" w:rsidR="00A23DF4" w:rsidP="00A23DF4" w:rsidRDefault="00A23DF4" w14:paraId="49255E49" w14:textId="77777777">
      <w:pPr>
        <w:pStyle w:val="Heading2"/>
        <w:rPr>
          <w:rFonts w:ascii="Arial" w:hAnsi="Arial" w:cs="Arial"/>
          <w:szCs w:val="24"/>
        </w:rPr>
      </w:pPr>
      <w:r w:rsidRPr="004D49C1">
        <w:rPr>
          <w:rFonts w:ascii="Arial" w:hAnsi="Arial" w:cs="Arial"/>
          <w:szCs w:val="24"/>
        </w:rPr>
        <w:lastRenderedPageBreak/>
        <w:t xml:space="preserve">8.      If applicable, provide a copy and identify the date and page number of </w:t>
      </w:r>
      <w:proofErr w:type="gramStart"/>
      <w:r w:rsidRPr="004D49C1">
        <w:rPr>
          <w:rFonts w:ascii="Arial" w:hAnsi="Arial" w:cs="Arial"/>
          <w:szCs w:val="24"/>
        </w:rPr>
        <w:t>publication</w:t>
      </w:r>
      <w:proofErr w:type="gramEnd"/>
      <w:r w:rsidRPr="004D49C1">
        <w:rPr>
          <w:rFonts w:ascii="Arial" w:hAnsi="Arial" w:cs="Arial"/>
          <w:szCs w:val="24"/>
        </w:rPr>
        <w:t xml:space="preserve"> in the Federal Register of the sponsor’s notice, required by 5 CFR 1320.8(d), soliciting comments on the information collection prior to submission to OMB.  Summarize public comments received in response to that notice and describe actions taken by the sponsor in responses to these comments.  Specifically address comments received on cost and hour burden.</w:t>
      </w:r>
    </w:p>
    <w:p w:rsidR="00BD08F7" w:rsidP="00CE0610" w:rsidRDefault="000A3F7A" w14:paraId="53CA2E2B" w14:textId="71842088">
      <w:pPr>
        <w:ind w:right="90"/>
        <w:rPr>
          <w:rFonts w:ascii="Arial" w:hAnsi="Arial" w:cs="Arial"/>
          <w:szCs w:val="24"/>
        </w:rPr>
      </w:pPr>
      <w:r w:rsidRPr="000A3F7A">
        <w:rPr>
          <w:rFonts w:ascii="Arial" w:hAnsi="Arial" w:cs="Arial"/>
          <w:szCs w:val="24"/>
        </w:rPr>
        <w:t>The Department notice was published in the Federal Register on</w:t>
      </w:r>
      <w:r w:rsidR="006A77A0">
        <w:rPr>
          <w:rFonts w:ascii="Arial" w:hAnsi="Arial" w:cs="Arial"/>
          <w:szCs w:val="24"/>
        </w:rPr>
        <w:t xml:space="preserve"> October 8, 2020, Vol. 85, No. 196, page 63660</w:t>
      </w:r>
      <w:r w:rsidRPr="000A3F7A">
        <w:rPr>
          <w:rFonts w:ascii="Arial" w:hAnsi="Arial" w:cs="Arial"/>
          <w:szCs w:val="24"/>
        </w:rPr>
        <w:t xml:space="preserve">.  </w:t>
      </w:r>
      <w:r w:rsidR="006A77A0">
        <w:rPr>
          <w:rFonts w:ascii="Arial" w:hAnsi="Arial" w:cs="Arial"/>
          <w:szCs w:val="24"/>
        </w:rPr>
        <w:t>No</w:t>
      </w:r>
      <w:bookmarkStart w:name="_GoBack" w:id="0"/>
      <w:bookmarkEnd w:id="0"/>
      <w:r w:rsidRPr="000A3F7A">
        <w:rPr>
          <w:rFonts w:ascii="Arial" w:hAnsi="Arial" w:cs="Arial"/>
          <w:szCs w:val="24"/>
        </w:rPr>
        <w:t xml:space="preserve"> comments were received in response to this notice.</w:t>
      </w:r>
    </w:p>
    <w:p w:rsidRPr="004D49C1" w:rsidR="000A3F7A" w:rsidP="00CE0610" w:rsidRDefault="000A3F7A" w14:paraId="2AF57954" w14:textId="77777777">
      <w:pPr>
        <w:ind w:right="90"/>
        <w:rPr>
          <w:rFonts w:ascii="Arial" w:hAnsi="Arial" w:cs="Arial"/>
          <w:szCs w:val="24"/>
        </w:rPr>
      </w:pPr>
    </w:p>
    <w:p w:rsidRPr="004D49C1" w:rsidR="00A23DF4" w:rsidP="00CE0610" w:rsidRDefault="00A23DF4" w14:paraId="2287B486" w14:textId="77777777">
      <w:pPr>
        <w:pStyle w:val="Heading2"/>
        <w:ind w:right="90"/>
        <w:rPr>
          <w:rFonts w:ascii="Arial" w:hAnsi="Arial" w:cs="Arial"/>
          <w:szCs w:val="24"/>
        </w:rPr>
      </w:pPr>
      <w:r w:rsidRPr="004D49C1">
        <w:rPr>
          <w:rFonts w:ascii="Arial" w:hAnsi="Arial" w:cs="Arial"/>
          <w:szCs w:val="24"/>
        </w:rPr>
        <w:t>9.</w:t>
      </w:r>
      <w:r w:rsidRPr="004D49C1">
        <w:rPr>
          <w:rFonts w:ascii="Arial" w:hAnsi="Arial" w:cs="Arial"/>
          <w:szCs w:val="24"/>
        </w:rPr>
        <w:tab/>
        <w:t>Explain any decision to provide any payment or gift to respondents, other than remuneration of contractors or grantees.</w:t>
      </w:r>
    </w:p>
    <w:p w:rsidRPr="004D49C1" w:rsidR="002F68E9" w:rsidP="00CE0610" w:rsidRDefault="009C0211" w14:paraId="0037B2F5" w14:textId="6D093B15">
      <w:pPr>
        <w:tabs>
          <w:tab w:val="left" w:pos="480"/>
          <w:tab w:val="right" w:pos="8640"/>
        </w:tabs>
        <w:ind w:right="90"/>
        <w:rPr>
          <w:rFonts w:ascii="Arial" w:hAnsi="Arial" w:cs="Arial"/>
          <w:szCs w:val="24"/>
        </w:rPr>
      </w:pPr>
      <w:r w:rsidRPr="004D49C1">
        <w:rPr>
          <w:rFonts w:ascii="Arial" w:hAnsi="Arial" w:cs="Arial"/>
          <w:szCs w:val="24"/>
        </w:rPr>
        <w:t>No payments or gifts to respondents have been made under this collection of information.</w:t>
      </w:r>
    </w:p>
    <w:p w:rsidRPr="004D49C1" w:rsidR="009C0211" w:rsidP="00CE0610" w:rsidRDefault="009C0211" w14:paraId="175683C1" w14:textId="77777777">
      <w:pPr>
        <w:tabs>
          <w:tab w:val="left" w:pos="480"/>
          <w:tab w:val="right" w:pos="8640"/>
        </w:tabs>
        <w:ind w:right="90"/>
        <w:rPr>
          <w:rFonts w:ascii="Arial" w:hAnsi="Arial" w:cs="Arial"/>
          <w:szCs w:val="24"/>
        </w:rPr>
      </w:pPr>
    </w:p>
    <w:p w:rsidRPr="004D49C1" w:rsidR="00A23DF4" w:rsidP="00CE0610" w:rsidRDefault="00A23DF4" w14:paraId="2C124AE6" w14:textId="1296326B">
      <w:pPr>
        <w:ind w:right="90"/>
        <w:rPr>
          <w:rFonts w:ascii="Arial" w:hAnsi="Arial" w:cs="Arial"/>
          <w:b/>
          <w:szCs w:val="24"/>
        </w:rPr>
      </w:pPr>
      <w:r w:rsidRPr="004D49C1">
        <w:rPr>
          <w:rFonts w:ascii="Arial" w:hAnsi="Arial" w:cs="Arial"/>
          <w:b/>
          <w:szCs w:val="24"/>
        </w:rPr>
        <w:t>10.</w:t>
      </w:r>
      <w:r w:rsidRPr="004D49C1">
        <w:rPr>
          <w:rFonts w:ascii="Arial" w:hAnsi="Arial" w:cs="Arial"/>
          <w:b/>
          <w:szCs w:val="24"/>
        </w:rPr>
        <w:tab/>
        <w:t xml:space="preserve">Describe any assurance of privacy to the extent permitted by law provided to respondents and the basis for the assurance in statute, regulation, or agency policy. </w:t>
      </w:r>
    </w:p>
    <w:p w:rsidRPr="004D49C1" w:rsidR="00A23DF4" w:rsidP="00A23DF4" w:rsidRDefault="00A23DF4" w14:paraId="4F9E9A67" w14:textId="77777777">
      <w:pPr>
        <w:rPr>
          <w:rFonts w:ascii="Arial" w:hAnsi="Arial" w:cs="Arial"/>
          <w:szCs w:val="24"/>
        </w:rPr>
      </w:pPr>
    </w:p>
    <w:p w:rsidR="002C4A66" w:rsidP="00CE0610" w:rsidRDefault="000A3F7A" w14:paraId="7288CF8F" w14:textId="5E02AA86">
      <w:pPr>
        <w:jc w:val="both"/>
        <w:rPr>
          <w:rFonts w:ascii="Arial" w:hAnsi="Arial" w:cs="Arial"/>
          <w:szCs w:val="24"/>
        </w:rPr>
      </w:pPr>
      <w:r w:rsidRPr="000A3F7A">
        <w:rPr>
          <w:rFonts w:ascii="Arial" w:hAnsi="Arial" w:cs="Arial"/>
          <w:szCs w:val="24"/>
        </w:rPr>
        <w:t>Loan Guaranty Home, Condominium and Manufactured Home Loan Applicant Records, Specially Adapted Housing Applicant Records, and Vendee Loan Applicant Records - VA (55VA26) contained in the Privacy Act Issuances, 2014 Compilation</w:t>
      </w:r>
      <w:r w:rsidR="00C6381F">
        <w:rPr>
          <w:rFonts w:ascii="Arial" w:hAnsi="Arial" w:cs="Arial"/>
          <w:szCs w:val="24"/>
        </w:rPr>
        <w:t xml:space="preserve">. </w:t>
      </w:r>
    </w:p>
    <w:p w:rsidRPr="004D49C1" w:rsidR="000A3F7A" w:rsidP="00CE0610" w:rsidRDefault="000A3F7A" w14:paraId="3B59D05E" w14:textId="77777777">
      <w:pPr>
        <w:jc w:val="both"/>
        <w:rPr>
          <w:rFonts w:ascii="Arial" w:hAnsi="Arial" w:cs="Arial"/>
          <w:szCs w:val="24"/>
        </w:rPr>
      </w:pPr>
    </w:p>
    <w:p w:rsidRPr="004D49C1" w:rsidR="00A23DF4" w:rsidP="00CE0610" w:rsidRDefault="00A23DF4" w14:paraId="3229FB0A" w14:textId="77777777">
      <w:pPr>
        <w:pStyle w:val="Heading2"/>
        <w:jc w:val="both"/>
        <w:rPr>
          <w:rFonts w:ascii="Arial" w:hAnsi="Arial" w:cs="Arial"/>
          <w:szCs w:val="24"/>
        </w:rPr>
      </w:pPr>
      <w:r w:rsidRPr="004D49C1">
        <w:rPr>
          <w:rFonts w:ascii="Arial" w:hAnsi="Arial" w:cs="Arial"/>
          <w:szCs w:val="24"/>
        </w:rPr>
        <w:t>11.</w:t>
      </w:r>
      <w:r w:rsidRPr="004D49C1">
        <w:rPr>
          <w:rFonts w:ascii="Arial" w:hAnsi="Arial" w:cs="Arial"/>
          <w:szCs w:val="24"/>
        </w:rPr>
        <w:tab/>
        <w:t>Provide additional justification for any questions of a sensitive nature</w:t>
      </w:r>
      <w:r w:rsidRPr="004D49C1">
        <w:rPr>
          <w:rFonts w:ascii="Arial" w:hAnsi="Arial" w:cs="Arial"/>
          <w:color w:val="0000FF"/>
          <w:szCs w:val="24"/>
        </w:rPr>
        <w:t xml:space="preserve"> </w:t>
      </w:r>
      <w:r w:rsidRPr="004D49C1">
        <w:rPr>
          <w:rFonts w:ascii="Arial" w:hAnsi="Arial" w:cs="Arial"/>
          <w:szCs w:val="24"/>
        </w:rPr>
        <w:t>(Information that, with a reasonable degree of medical certainty, is likely to have a serious adverse effect on an individual's mental or physical health if revealed to him or her), such as sexual behavior and attitudes, religious beliefs, and other matters that are commonly considered private; include specific uses to be made of the information, the explanation to be given to persons from whom the information is requested, and any steps to be taken to obtain their consent.</w:t>
      </w:r>
    </w:p>
    <w:p w:rsidRPr="004D49C1" w:rsidR="002F68E9" w:rsidP="00A23DF4" w:rsidRDefault="002F68E9" w14:paraId="505F8972" w14:textId="58FE473D">
      <w:pPr>
        <w:tabs>
          <w:tab w:val="left" w:pos="480"/>
          <w:tab w:val="right" w:pos="8640"/>
        </w:tabs>
        <w:ind w:right="684"/>
        <w:rPr>
          <w:rFonts w:ascii="Arial" w:hAnsi="Arial" w:cs="Arial"/>
          <w:szCs w:val="24"/>
        </w:rPr>
      </w:pPr>
      <w:r w:rsidRPr="004D49C1">
        <w:rPr>
          <w:rFonts w:ascii="Arial" w:hAnsi="Arial" w:cs="Arial"/>
          <w:szCs w:val="24"/>
        </w:rPr>
        <w:t>There are no questions of a sensitive nature.</w:t>
      </w:r>
    </w:p>
    <w:p w:rsidRPr="004D49C1" w:rsidR="00BD08F7" w:rsidRDefault="00BD08F7" w14:paraId="77034710" w14:textId="77777777">
      <w:pPr>
        <w:tabs>
          <w:tab w:val="left" w:pos="480"/>
          <w:tab w:val="right" w:pos="8640"/>
        </w:tabs>
        <w:ind w:right="684"/>
        <w:rPr>
          <w:rFonts w:ascii="Arial" w:hAnsi="Arial" w:cs="Arial"/>
          <w:szCs w:val="24"/>
        </w:rPr>
      </w:pPr>
    </w:p>
    <w:p w:rsidRPr="004D49C1" w:rsidR="00A23DF4" w:rsidP="00A23DF4" w:rsidRDefault="00A23DF4" w14:paraId="231F8E69" w14:textId="77777777">
      <w:pPr>
        <w:pStyle w:val="Heading2"/>
        <w:rPr>
          <w:rFonts w:ascii="Arial" w:hAnsi="Arial" w:cs="Arial"/>
          <w:szCs w:val="24"/>
        </w:rPr>
      </w:pPr>
      <w:r w:rsidRPr="004D49C1">
        <w:rPr>
          <w:rFonts w:ascii="Arial" w:hAnsi="Arial" w:cs="Arial"/>
          <w:szCs w:val="24"/>
        </w:rPr>
        <w:t>12. Estimate of the hour burden of the collection of information:</w:t>
      </w:r>
    </w:p>
    <w:p w:rsidRPr="004D49C1" w:rsidR="003F5CBF" w:rsidP="003F5CBF" w:rsidRDefault="003F5CBF" w14:paraId="2CCBC593" w14:textId="52E6071E">
      <w:pPr>
        <w:pStyle w:val="List2"/>
        <w:ind w:left="1080"/>
        <w:rPr>
          <w:rFonts w:ascii="Arial" w:hAnsi="Arial" w:cs="Arial"/>
        </w:rPr>
      </w:pPr>
      <w:r w:rsidRPr="004D49C1">
        <w:rPr>
          <w:rFonts w:ascii="Arial" w:hAnsi="Arial" w:cs="Arial"/>
        </w:rPr>
        <w:t xml:space="preserve">a.  Number of respondents is estimated at </w:t>
      </w:r>
      <w:r w:rsidR="000A3F7A">
        <w:rPr>
          <w:rFonts w:ascii="Arial" w:hAnsi="Arial" w:cs="Arial"/>
        </w:rPr>
        <w:t>250</w:t>
      </w:r>
      <w:r w:rsidRPr="004D49C1">
        <w:rPr>
          <w:rFonts w:ascii="Arial" w:hAnsi="Arial" w:cs="Arial"/>
        </w:rPr>
        <w:t xml:space="preserve"> per year.</w:t>
      </w:r>
    </w:p>
    <w:p w:rsidRPr="004D49C1" w:rsidR="003F5CBF" w:rsidP="003F5CBF" w:rsidRDefault="003F5CBF" w14:paraId="206750FA" w14:textId="77777777">
      <w:pPr>
        <w:pStyle w:val="List2"/>
        <w:ind w:left="1440"/>
        <w:rPr>
          <w:rFonts w:ascii="Arial" w:hAnsi="Arial" w:cs="Arial"/>
        </w:rPr>
      </w:pPr>
    </w:p>
    <w:p w:rsidRPr="004D49C1" w:rsidR="003F5CBF" w:rsidP="003F5CBF" w:rsidRDefault="003F5CBF" w14:paraId="369A3F9E" w14:textId="602063B4">
      <w:pPr>
        <w:pStyle w:val="List2"/>
        <w:ind w:firstLine="0"/>
        <w:rPr>
          <w:rFonts w:ascii="Arial" w:hAnsi="Arial" w:cs="Arial"/>
        </w:rPr>
      </w:pPr>
      <w:r w:rsidRPr="004D49C1">
        <w:rPr>
          <w:rFonts w:ascii="Arial" w:hAnsi="Arial" w:cs="Arial"/>
        </w:rPr>
        <w:t>b.  Frequency of response is generally o</w:t>
      </w:r>
      <w:r w:rsidR="000A3F7A">
        <w:rPr>
          <w:rFonts w:ascii="Arial" w:hAnsi="Arial" w:cs="Arial"/>
        </w:rPr>
        <w:t>ne time</w:t>
      </w:r>
      <w:r w:rsidRPr="004D49C1">
        <w:rPr>
          <w:rFonts w:ascii="Arial" w:hAnsi="Arial" w:cs="Arial"/>
        </w:rPr>
        <w:t>.</w:t>
      </w:r>
    </w:p>
    <w:p w:rsidRPr="004D49C1" w:rsidR="003F5CBF" w:rsidP="003F5CBF" w:rsidRDefault="003F5CBF" w14:paraId="56875E19" w14:textId="77777777">
      <w:pPr>
        <w:pStyle w:val="List2"/>
        <w:ind w:left="1080" w:firstLine="0"/>
        <w:rPr>
          <w:rFonts w:ascii="Arial" w:hAnsi="Arial" w:cs="Arial"/>
        </w:rPr>
      </w:pPr>
    </w:p>
    <w:p w:rsidRPr="004D49C1" w:rsidR="003F5CBF" w:rsidP="003F5CBF" w:rsidRDefault="003F5CBF" w14:paraId="2231CCC9" w14:textId="559DCC7A">
      <w:pPr>
        <w:pStyle w:val="List2"/>
        <w:ind w:firstLine="0"/>
        <w:rPr>
          <w:rFonts w:ascii="Arial" w:hAnsi="Arial" w:cs="Arial"/>
        </w:rPr>
      </w:pPr>
      <w:r w:rsidRPr="004D49C1">
        <w:rPr>
          <w:rFonts w:ascii="Arial" w:hAnsi="Arial" w:cs="Arial"/>
        </w:rPr>
        <w:t xml:space="preserve">c.  Annual burden is estimated at </w:t>
      </w:r>
      <w:r w:rsidR="000A3F7A">
        <w:rPr>
          <w:rFonts w:ascii="Arial" w:hAnsi="Arial" w:cs="Arial"/>
        </w:rPr>
        <w:t>4</w:t>
      </w:r>
      <w:r w:rsidRPr="004D49C1">
        <w:rPr>
          <w:rFonts w:ascii="Arial" w:hAnsi="Arial" w:cs="Arial"/>
        </w:rPr>
        <w:t>2 hours.</w:t>
      </w:r>
    </w:p>
    <w:p w:rsidRPr="004D49C1" w:rsidR="003F5CBF" w:rsidP="003F5CBF" w:rsidRDefault="003F5CBF" w14:paraId="6B89FD7B" w14:textId="77777777">
      <w:pPr>
        <w:pStyle w:val="List2"/>
        <w:ind w:left="1080" w:firstLine="0"/>
        <w:rPr>
          <w:rFonts w:ascii="Arial" w:hAnsi="Arial" w:cs="Arial"/>
        </w:rPr>
      </w:pPr>
    </w:p>
    <w:p w:rsidRPr="004D49C1" w:rsidR="003F5CBF" w:rsidP="004416EC" w:rsidRDefault="003F5CBF" w14:paraId="2CF84BB9" w14:textId="3A554A73">
      <w:pPr>
        <w:pStyle w:val="List2"/>
        <w:ind w:firstLine="0"/>
        <w:rPr>
          <w:rFonts w:ascii="Arial" w:hAnsi="Arial" w:cs="Arial"/>
        </w:rPr>
      </w:pPr>
      <w:r w:rsidRPr="004D49C1">
        <w:rPr>
          <w:rFonts w:ascii="Arial" w:hAnsi="Arial" w:cs="Arial"/>
        </w:rPr>
        <w:t xml:space="preserve">d.  The estimated response time of </w:t>
      </w:r>
      <w:r w:rsidR="000A3F7A">
        <w:rPr>
          <w:rFonts w:ascii="Arial" w:hAnsi="Arial" w:cs="Arial"/>
        </w:rPr>
        <w:t>10</w:t>
      </w:r>
      <w:r w:rsidRPr="004D49C1">
        <w:rPr>
          <w:rFonts w:ascii="Arial" w:hAnsi="Arial" w:cs="Arial"/>
        </w:rPr>
        <w:t xml:space="preserve"> minutes has been determined to be an average time spent to report the information requested and no wide variance is likely</w:t>
      </w:r>
      <w:r w:rsidR="004416EC">
        <w:rPr>
          <w:rFonts w:ascii="Arial" w:hAnsi="Arial" w:cs="Arial"/>
        </w:rPr>
        <w:t>.</w:t>
      </w:r>
    </w:p>
    <w:p w:rsidRPr="00AC22D7" w:rsidR="008774D0" w:rsidP="00AC22D7" w:rsidRDefault="003F5CBF" w14:paraId="28E3E402" w14:textId="602E9D4F">
      <w:pPr>
        <w:tabs>
          <w:tab w:val="left" w:pos="480"/>
          <w:tab w:val="right" w:pos="8640"/>
        </w:tabs>
        <w:spacing w:after="240"/>
        <w:ind w:left="720" w:right="691"/>
        <w:rPr>
          <w:rFonts w:ascii="Arial" w:hAnsi="Arial" w:eastAsia="Calibri" w:cs="Arial"/>
          <w:color w:val="C00000"/>
          <w:szCs w:val="24"/>
        </w:rPr>
      </w:pPr>
      <w:r w:rsidRPr="00AC22D7">
        <w:rPr>
          <w:rFonts w:ascii="Arial" w:hAnsi="Arial" w:cs="Arial"/>
        </w:rPr>
        <w:t xml:space="preserve">e.  </w:t>
      </w:r>
      <w:r w:rsidRPr="00AC22D7" w:rsidR="00AC22D7">
        <w:rPr>
          <w:rFonts w:ascii="Arial" w:hAnsi="Arial" w:cs="Arial"/>
          <w:szCs w:val="24"/>
        </w:rPr>
        <w:t xml:space="preserve">The respondent population is composed of Veterans. VBA cannot make further assumptions about the population of respondents because of </w:t>
      </w:r>
      <w:r w:rsidRPr="00AC22D7" w:rsidR="00AC22D7">
        <w:rPr>
          <w:rFonts w:ascii="Arial" w:hAnsi="Arial" w:cs="Arial"/>
          <w:szCs w:val="24"/>
        </w:rPr>
        <w:lastRenderedPageBreak/>
        <w:t>the variability of factors such as the educational background and wage potential of respondents.  Therefore, VBA used general wage data to estimate the respondents’ costs associated with completing the information collection.</w:t>
      </w:r>
    </w:p>
    <w:p w:rsidRPr="00C6381F" w:rsidR="00C6381F" w:rsidP="00AC22D7" w:rsidRDefault="000A3F7A" w14:paraId="78986405" w14:textId="761AB1BF">
      <w:pPr>
        <w:contextualSpacing/>
        <w:rPr>
          <w:rFonts w:ascii="Arial" w:hAnsi="Arial" w:eastAsia="Calibri" w:cs="Arial"/>
          <w:color w:val="C00000"/>
          <w:szCs w:val="24"/>
        </w:rPr>
      </w:pPr>
      <w:r w:rsidRPr="00AC22D7">
        <w:rPr>
          <w:rFonts w:ascii="Arial" w:hAnsi="Arial" w:cs="Arial"/>
        </w:rPr>
        <w:t>The Bureau of Labor Statistics (BLS) gathers information on full-time wage and salary workers.  According to the latest available BLS data, the median weekly earnings of full-time wage and salary workers are $1,</w:t>
      </w:r>
      <w:r w:rsidRPr="00AC22D7" w:rsidR="00C6381F">
        <w:rPr>
          <w:rFonts w:ascii="Arial" w:hAnsi="Arial" w:cs="Arial"/>
        </w:rPr>
        <w:t>028.80</w:t>
      </w:r>
      <w:r w:rsidRPr="00AC22D7">
        <w:rPr>
          <w:rFonts w:ascii="Arial" w:hAnsi="Arial" w:cs="Arial"/>
        </w:rPr>
        <w:t>.  Assuming a forty (40) hour work week, the mean hourly wage is $</w:t>
      </w:r>
      <w:r w:rsidRPr="00AC22D7" w:rsidR="00C6381F">
        <w:t xml:space="preserve"> </w:t>
      </w:r>
      <w:r w:rsidRPr="00AC22D7" w:rsidR="00C6381F">
        <w:rPr>
          <w:rFonts w:ascii="Arial" w:hAnsi="Arial" w:cs="Arial"/>
        </w:rPr>
        <w:t xml:space="preserve">$25.72. </w:t>
      </w:r>
      <w:r w:rsidRPr="00AC22D7">
        <w:rPr>
          <w:rFonts w:ascii="Arial" w:hAnsi="Arial" w:cs="Arial"/>
        </w:rPr>
        <w:t xml:space="preserve"> </w:t>
      </w:r>
      <w:r w:rsidR="00C6381F">
        <w:rPr>
          <w:rFonts w:ascii="Arial" w:hAnsi="Arial" w:eastAsia="Calibri" w:cs="Arial"/>
          <w:szCs w:val="24"/>
        </w:rPr>
        <w:t>As of May 2019, t</w:t>
      </w:r>
      <w:r w:rsidRPr="00C6381F" w:rsidR="00C6381F">
        <w:rPr>
          <w:rFonts w:ascii="Arial" w:hAnsi="Arial" w:eastAsia="Calibri" w:cs="Arial"/>
          <w:szCs w:val="24"/>
        </w:rPr>
        <w:t xml:space="preserve">he general </w:t>
      </w:r>
      <w:r w:rsidRPr="004416EC" w:rsidR="00C6381F">
        <w:rPr>
          <w:rFonts w:ascii="Arial" w:hAnsi="Arial" w:eastAsia="Calibri" w:cs="Arial"/>
          <w:szCs w:val="24"/>
        </w:rPr>
        <w:t xml:space="preserve">wage code 00-0000 for “All Occupations” may be found by clicking this link:  </w:t>
      </w:r>
      <w:hyperlink w:history="1" w:anchor="00-0000" r:id="rId9">
        <w:r w:rsidRPr="00576776" w:rsidR="00C6381F">
          <w:rPr>
            <w:rStyle w:val="Hyperlink"/>
            <w:rFonts w:ascii="Arial" w:hAnsi="Arial" w:eastAsia="Calibri" w:cs="Arial"/>
            <w:szCs w:val="24"/>
          </w:rPr>
          <w:t>https://www.bls.gov/oes/current/oes_nat.htm#00-0000</w:t>
        </w:r>
      </w:hyperlink>
      <w:r w:rsidR="00C6381F">
        <w:rPr>
          <w:rFonts w:ascii="Arial" w:hAnsi="Arial" w:eastAsia="Calibri" w:cs="Arial"/>
          <w:szCs w:val="24"/>
        </w:rPr>
        <w:t xml:space="preserve">. </w:t>
      </w:r>
    </w:p>
    <w:p w:rsidRPr="004D49C1" w:rsidR="00BD08F7" w:rsidP="004416EC" w:rsidRDefault="00B2606E" w14:paraId="4DBD6CC9" w14:textId="751603E7">
      <w:pPr>
        <w:pStyle w:val="List2"/>
        <w:tabs>
          <w:tab w:val="left" w:pos="5676"/>
        </w:tabs>
        <w:rPr>
          <w:rFonts w:ascii="Arial" w:hAnsi="Arial" w:cs="Arial"/>
        </w:rPr>
      </w:pPr>
      <w:r w:rsidRPr="004D49C1">
        <w:rPr>
          <w:rFonts w:ascii="Arial" w:hAnsi="Arial" w:cs="Arial"/>
        </w:rPr>
        <w:t xml:space="preserve">   </w:t>
      </w:r>
      <w:r w:rsidRPr="004D49C1">
        <w:rPr>
          <w:rFonts w:ascii="Arial" w:hAnsi="Arial" w:cs="Arial"/>
        </w:rPr>
        <w:tab/>
      </w:r>
      <w:r w:rsidRPr="004D49C1">
        <w:rPr>
          <w:rFonts w:ascii="Arial" w:hAnsi="Arial" w:cs="Arial"/>
        </w:rPr>
        <w:tab/>
      </w:r>
    </w:p>
    <w:p w:rsidRPr="00AC22D7" w:rsidR="00AC22D7" w:rsidP="00AC22D7" w:rsidRDefault="000A3F7A" w14:paraId="5C39A486" w14:textId="77777777">
      <w:pPr>
        <w:tabs>
          <w:tab w:val="left" w:pos="480"/>
          <w:tab w:val="right" w:pos="8640"/>
        </w:tabs>
        <w:ind w:right="684"/>
        <w:rPr>
          <w:rFonts w:ascii="Arial" w:hAnsi="Arial" w:cs="Arial"/>
        </w:rPr>
      </w:pPr>
      <w:r w:rsidRPr="00AC22D7">
        <w:rPr>
          <w:rFonts w:ascii="Arial" w:hAnsi="Arial" w:cs="Arial"/>
          <w:szCs w:val="24"/>
        </w:rPr>
        <w:t xml:space="preserve">Legally, respondents may not pay a person or business for assistance in completing the information collection. Therefore, there are no expected overhead costs for completing the information collection.  VBA estimates the total cost to all respondents to be </w:t>
      </w:r>
      <w:r w:rsidRPr="00AC22D7" w:rsidR="00AC22D7">
        <w:rPr>
          <w:rFonts w:ascii="Arial" w:hAnsi="Arial" w:cs="Arial"/>
        </w:rPr>
        <w:t>$1,080.24 (42 hours X $25.72 per hour).</w:t>
      </w:r>
    </w:p>
    <w:p w:rsidRPr="004D49C1" w:rsidR="002F68E9" w:rsidP="00AC22D7" w:rsidRDefault="002F68E9" w14:paraId="37CF392E" w14:textId="2A6985AB">
      <w:pPr>
        <w:tabs>
          <w:tab w:val="left" w:pos="480"/>
          <w:tab w:val="right" w:pos="8640"/>
        </w:tabs>
        <w:ind w:left="720" w:right="684"/>
        <w:rPr>
          <w:rFonts w:ascii="Arial" w:hAnsi="Arial" w:cs="Arial"/>
          <w:szCs w:val="24"/>
        </w:rPr>
      </w:pPr>
    </w:p>
    <w:p w:rsidRPr="004D49C1" w:rsidR="00A23DF4" w:rsidP="00786FEA" w:rsidRDefault="00A23DF4" w14:paraId="6F735EEB" w14:textId="77777777">
      <w:pPr>
        <w:pStyle w:val="Heading2"/>
        <w:jc w:val="both"/>
        <w:rPr>
          <w:rFonts w:ascii="Arial" w:hAnsi="Arial" w:cs="Arial"/>
          <w:szCs w:val="24"/>
        </w:rPr>
      </w:pPr>
      <w:r w:rsidRPr="004D49C1">
        <w:rPr>
          <w:rFonts w:ascii="Arial" w:hAnsi="Arial" w:cs="Arial"/>
          <w:szCs w:val="24"/>
        </w:rPr>
        <w:t>13.</w:t>
      </w:r>
      <w:r w:rsidRPr="004D49C1">
        <w:rPr>
          <w:rFonts w:ascii="Arial" w:hAnsi="Arial" w:cs="Arial"/>
          <w:szCs w:val="24"/>
        </w:rPr>
        <w:tab/>
        <w:t>Provide an estimate of the total annual cost burden to respondents or record-keepers resulting from the collection of information.  (Do not include the cost of any hour burden shown in Items 12 and 14).</w:t>
      </w:r>
    </w:p>
    <w:p w:rsidRPr="004D49C1" w:rsidR="00A23DF4" w:rsidP="00786FEA" w:rsidRDefault="00A23DF4" w14:paraId="53D0476C" w14:textId="77777777">
      <w:pPr>
        <w:tabs>
          <w:tab w:val="left" w:pos="480"/>
          <w:tab w:val="right" w:pos="8640"/>
        </w:tabs>
        <w:ind w:right="684"/>
        <w:jc w:val="both"/>
        <w:rPr>
          <w:rFonts w:ascii="Arial" w:hAnsi="Arial" w:cs="Arial"/>
          <w:szCs w:val="24"/>
        </w:rPr>
      </w:pPr>
      <w:r w:rsidRPr="004D49C1">
        <w:rPr>
          <w:rFonts w:ascii="Arial" w:hAnsi="Arial" w:cs="Arial"/>
          <w:szCs w:val="24"/>
        </w:rPr>
        <w:t>This submission does not involve any recordkeeping costs.</w:t>
      </w:r>
    </w:p>
    <w:p w:rsidRPr="004D49C1" w:rsidR="00A23DF4" w:rsidP="00786FEA" w:rsidRDefault="00A23DF4" w14:paraId="39D8F8DF" w14:textId="77777777">
      <w:pPr>
        <w:jc w:val="both"/>
        <w:rPr>
          <w:rFonts w:ascii="Arial" w:hAnsi="Arial" w:cs="Arial"/>
          <w:szCs w:val="24"/>
        </w:rPr>
      </w:pPr>
    </w:p>
    <w:p w:rsidR="004416EC" w:rsidP="002C4A66" w:rsidRDefault="00A23DF4" w14:paraId="229EC0BB" w14:textId="77777777">
      <w:pPr>
        <w:pStyle w:val="Heading2"/>
        <w:jc w:val="both"/>
        <w:rPr>
          <w:rFonts w:ascii="Arial" w:hAnsi="Arial" w:cs="Arial"/>
          <w:szCs w:val="24"/>
        </w:rPr>
      </w:pPr>
      <w:r w:rsidRPr="004D49C1">
        <w:rPr>
          <w:rFonts w:ascii="Arial" w:hAnsi="Arial" w:cs="Arial"/>
          <w:szCs w:val="24"/>
        </w:rPr>
        <w:t>14.</w:t>
      </w:r>
      <w:r w:rsidRPr="004D49C1">
        <w:rPr>
          <w:rFonts w:ascii="Arial" w:hAnsi="Arial" w:cs="Arial"/>
          <w:szCs w:val="24"/>
        </w:rPr>
        <w:tab/>
        <w:t>Provide estimates of annual cost to the Federal Government.  Also, provide a description of the method used to estimate cost, which should include quantification of hours, operation expenses (such as equipment, overhead, printing, and support staff), and any other expense that would not have been incurred without this collection of information.  Agencies also may aggregate cost estimates from Items 12, 13, and 14 in a single table.</w:t>
      </w:r>
      <w:r w:rsidRPr="004416EC" w:rsidR="004416EC">
        <w:rPr>
          <w:rFonts w:ascii="Arial" w:hAnsi="Arial" w:cs="Arial"/>
          <w:szCs w:val="24"/>
        </w:rPr>
        <w:t xml:space="preserve"> </w:t>
      </w:r>
    </w:p>
    <w:p w:rsidRPr="004416EC" w:rsidR="00B2606E" w:rsidP="002C4A66" w:rsidRDefault="004416EC" w14:paraId="7CFB7907" w14:textId="3D87ED13">
      <w:pPr>
        <w:pStyle w:val="Heading2"/>
        <w:jc w:val="both"/>
        <w:rPr>
          <w:rFonts w:ascii="Arial" w:hAnsi="Arial" w:cs="Arial"/>
          <w:b w:val="0"/>
          <w:bCs/>
          <w:szCs w:val="24"/>
        </w:rPr>
      </w:pPr>
      <w:r w:rsidRPr="00AC22D7">
        <w:rPr>
          <w:rFonts w:ascii="Arial" w:hAnsi="Arial" w:cs="Arial"/>
          <w:b w:val="0"/>
          <w:bCs/>
          <w:szCs w:val="24"/>
        </w:rPr>
        <w:t>Estimated</w:t>
      </w:r>
      <w:r w:rsidRPr="00AC22D7">
        <w:rPr>
          <w:rFonts w:ascii="Arial" w:hAnsi="Arial" w:cs="Arial"/>
          <w:b w:val="0"/>
          <w:bCs/>
          <w:spacing w:val="26"/>
          <w:szCs w:val="24"/>
        </w:rPr>
        <w:t xml:space="preserve"> </w:t>
      </w:r>
      <w:r w:rsidRPr="00AC22D7">
        <w:rPr>
          <w:rFonts w:ascii="Arial" w:hAnsi="Arial" w:cs="Arial"/>
          <w:b w:val="0"/>
          <w:bCs/>
          <w:szCs w:val="24"/>
        </w:rPr>
        <w:t>Costs</w:t>
      </w:r>
      <w:r w:rsidRPr="00AC22D7">
        <w:rPr>
          <w:rFonts w:ascii="Arial" w:hAnsi="Arial" w:cs="Arial"/>
          <w:b w:val="0"/>
          <w:bCs/>
          <w:spacing w:val="13"/>
          <w:szCs w:val="24"/>
        </w:rPr>
        <w:t xml:space="preserve"> </w:t>
      </w:r>
      <w:r w:rsidRPr="00AC22D7">
        <w:rPr>
          <w:rFonts w:ascii="Arial" w:hAnsi="Arial" w:cs="Arial"/>
          <w:b w:val="0"/>
          <w:bCs/>
          <w:szCs w:val="24"/>
        </w:rPr>
        <w:t>to</w:t>
      </w:r>
      <w:r w:rsidRPr="00AC22D7">
        <w:rPr>
          <w:rFonts w:ascii="Arial" w:hAnsi="Arial" w:cs="Arial"/>
          <w:b w:val="0"/>
          <w:bCs/>
          <w:spacing w:val="21"/>
          <w:szCs w:val="24"/>
        </w:rPr>
        <w:t xml:space="preserve"> </w:t>
      </w:r>
      <w:r w:rsidRPr="00AC22D7">
        <w:rPr>
          <w:rFonts w:ascii="Arial" w:hAnsi="Arial" w:cs="Arial"/>
          <w:b w:val="0"/>
          <w:bCs/>
          <w:szCs w:val="24"/>
        </w:rPr>
        <w:t>the</w:t>
      </w:r>
      <w:r w:rsidRPr="00AC22D7">
        <w:rPr>
          <w:rFonts w:ascii="Arial" w:hAnsi="Arial" w:cs="Arial"/>
          <w:b w:val="0"/>
          <w:bCs/>
          <w:spacing w:val="32"/>
          <w:szCs w:val="24"/>
        </w:rPr>
        <w:t xml:space="preserve"> </w:t>
      </w:r>
      <w:r w:rsidRPr="00AC22D7">
        <w:rPr>
          <w:rFonts w:ascii="Arial" w:hAnsi="Arial" w:cs="Arial"/>
          <w:b w:val="0"/>
          <w:bCs/>
          <w:szCs w:val="24"/>
        </w:rPr>
        <w:t>Federal</w:t>
      </w:r>
      <w:r w:rsidRPr="00AC22D7">
        <w:rPr>
          <w:rFonts w:ascii="Arial" w:hAnsi="Arial" w:cs="Arial"/>
          <w:b w:val="0"/>
          <w:bCs/>
          <w:spacing w:val="16"/>
          <w:szCs w:val="24"/>
        </w:rPr>
        <w:t xml:space="preserve"> </w:t>
      </w:r>
      <w:r w:rsidRPr="00AC22D7">
        <w:rPr>
          <w:rFonts w:ascii="Arial" w:hAnsi="Arial" w:cs="Arial"/>
          <w:b w:val="0"/>
          <w:bCs/>
          <w:szCs w:val="24"/>
        </w:rPr>
        <w:t>Government</w:t>
      </w:r>
      <w:r w:rsidRPr="004416EC">
        <w:rPr>
          <w:rFonts w:ascii="Arial" w:hAnsi="Arial" w:cs="Arial"/>
          <w:b w:val="0"/>
          <w:bCs/>
          <w:szCs w:val="24"/>
        </w:rPr>
        <w:t>:</w:t>
      </w:r>
    </w:p>
    <w:p w:rsidRPr="004416EC" w:rsidR="00B2606E" w:rsidP="004416EC" w:rsidRDefault="00B2606E" w14:paraId="3259E957" w14:textId="02CE4A9D">
      <w:pPr>
        <w:overflowPunct w:val="0"/>
        <w:autoSpaceDE w:val="0"/>
        <w:autoSpaceDN w:val="0"/>
        <w:adjustRightInd w:val="0"/>
        <w:textAlignment w:val="baseline"/>
        <w:rPr>
          <w:rFonts w:ascii="Arial" w:hAnsi="Arial" w:cs="Arial"/>
          <w:color w:val="000000"/>
        </w:rPr>
      </w:pPr>
    </w:p>
    <w:tbl>
      <w:tblPr>
        <w:tblpPr w:leftFromText="180" w:rightFromText="180" w:vertAnchor="text" w:horzAnchor="page" w:tblpX="1853" w:tblpY="-129"/>
        <w:tblW w:w="8298" w:type="dxa"/>
        <w:tblLook w:val="04A0" w:firstRow="1" w:lastRow="0" w:firstColumn="1" w:lastColumn="0" w:noHBand="0" w:noVBand="1"/>
      </w:tblPr>
      <w:tblGrid>
        <w:gridCol w:w="884"/>
        <w:gridCol w:w="710"/>
        <w:gridCol w:w="990"/>
        <w:gridCol w:w="1082"/>
        <w:gridCol w:w="1409"/>
        <w:gridCol w:w="1541"/>
        <w:gridCol w:w="1682"/>
      </w:tblGrid>
      <w:tr w:rsidRPr="004D49C1" w:rsidR="00B2606E" w:rsidTr="0054698C" w14:paraId="330FAF37" w14:textId="77777777">
        <w:trPr>
          <w:trHeight w:val="492"/>
        </w:trPr>
        <w:tc>
          <w:tcPr>
            <w:tcW w:w="656" w:type="dxa"/>
            <w:tcBorders>
              <w:top w:val="single" w:color="auto" w:sz="4" w:space="0"/>
              <w:left w:val="single" w:color="auto" w:sz="4" w:space="0"/>
              <w:bottom w:val="single" w:color="auto" w:sz="4" w:space="0"/>
              <w:right w:val="single" w:color="auto" w:sz="4" w:space="0"/>
            </w:tcBorders>
            <w:shd w:val="clear" w:color="auto" w:fill="auto"/>
            <w:vAlign w:val="bottom"/>
            <w:hideMark/>
          </w:tcPr>
          <w:p w:rsidRPr="004D49C1" w:rsidR="00B2606E" w:rsidP="0054698C" w:rsidRDefault="00B2606E" w14:paraId="3E597E41" w14:textId="77777777">
            <w:pPr>
              <w:jc w:val="center"/>
              <w:rPr>
                <w:rFonts w:ascii="Arial" w:hAnsi="Arial" w:cs="Arial"/>
                <w:color w:val="000000"/>
                <w:szCs w:val="24"/>
              </w:rPr>
            </w:pPr>
            <w:r w:rsidRPr="004D49C1">
              <w:rPr>
                <w:rFonts w:ascii="Arial" w:hAnsi="Arial" w:cs="Arial"/>
                <w:color w:val="000000"/>
                <w:szCs w:val="24"/>
              </w:rPr>
              <w:t>Grade</w:t>
            </w:r>
          </w:p>
        </w:tc>
        <w:tc>
          <w:tcPr>
            <w:tcW w:w="537" w:type="dxa"/>
            <w:tcBorders>
              <w:top w:val="single" w:color="auto" w:sz="4" w:space="0"/>
              <w:left w:val="nil"/>
              <w:bottom w:val="single" w:color="auto" w:sz="4" w:space="0"/>
              <w:right w:val="single" w:color="auto" w:sz="4" w:space="0"/>
            </w:tcBorders>
            <w:shd w:val="clear" w:color="auto" w:fill="auto"/>
            <w:vAlign w:val="bottom"/>
            <w:hideMark/>
          </w:tcPr>
          <w:p w:rsidRPr="004D49C1" w:rsidR="00B2606E" w:rsidP="0054698C" w:rsidRDefault="00B2606E" w14:paraId="0A4D60AE" w14:textId="77777777">
            <w:pPr>
              <w:jc w:val="center"/>
              <w:rPr>
                <w:rFonts w:ascii="Arial" w:hAnsi="Arial" w:cs="Arial"/>
                <w:color w:val="000000"/>
                <w:szCs w:val="24"/>
              </w:rPr>
            </w:pPr>
            <w:r w:rsidRPr="004D49C1">
              <w:rPr>
                <w:rFonts w:ascii="Arial" w:hAnsi="Arial" w:cs="Arial"/>
                <w:color w:val="000000"/>
                <w:szCs w:val="24"/>
              </w:rPr>
              <w:t>Step</w:t>
            </w:r>
          </w:p>
        </w:tc>
        <w:tc>
          <w:tcPr>
            <w:tcW w:w="746" w:type="dxa"/>
            <w:tcBorders>
              <w:top w:val="single" w:color="auto" w:sz="4" w:space="0"/>
              <w:left w:val="nil"/>
              <w:bottom w:val="single" w:color="auto" w:sz="4" w:space="0"/>
              <w:right w:val="single" w:color="auto" w:sz="4" w:space="0"/>
            </w:tcBorders>
            <w:shd w:val="clear" w:color="auto" w:fill="auto"/>
            <w:vAlign w:val="bottom"/>
            <w:hideMark/>
          </w:tcPr>
          <w:p w:rsidRPr="004D49C1" w:rsidR="00B2606E" w:rsidP="0054698C" w:rsidRDefault="00B2606E" w14:paraId="55829740" w14:textId="77777777">
            <w:pPr>
              <w:jc w:val="center"/>
              <w:rPr>
                <w:rFonts w:ascii="Arial" w:hAnsi="Arial" w:cs="Arial"/>
                <w:color w:val="000000"/>
                <w:szCs w:val="24"/>
              </w:rPr>
            </w:pPr>
            <w:r w:rsidRPr="004D49C1">
              <w:rPr>
                <w:rFonts w:ascii="Arial" w:hAnsi="Arial" w:cs="Arial"/>
                <w:color w:val="000000"/>
                <w:szCs w:val="24"/>
              </w:rPr>
              <w:t>Burden Time</w:t>
            </w:r>
          </w:p>
        </w:tc>
        <w:tc>
          <w:tcPr>
            <w:tcW w:w="1193" w:type="dxa"/>
            <w:tcBorders>
              <w:top w:val="single" w:color="auto" w:sz="4" w:space="0"/>
              <w:left w:val="nil"/>
              <w:bottom w:val="single" w:color="auto" w:sz="4" w:space="0"/>
              <w:right w:val="single" w:color="auto" w:sz="4" w:space="0"/>
            </w:tcBorders>
            <w:shd w:val="clear" w:color="auto" w:fill="auto"/>
            <w:vAlign w:val="bottom"/>
            <w:hideMark/>
          </w:tcPr>
          <w:p w:rsidRPr="004D49C1" w:rsidR="00B2606E" w:rsidP="0054698C" w:rsidRDefault="00B2606E" w14:paraId="0DF15A41" w14:textId="77777777">
            <w:pPr>
              <w:jc w:val="center"/>
              <w:rPr>
                <w:rFonts w:ascii="Arial" w:hAnsi="Arial" w:cs="Arial"/>
                <w:color w:val="000000"/>
                <w:szCs w:val="24"/>
              </w:rPr>
            </w:pPr>
            <w:r w:rsidRPr="004D49C1">
              <w:rPr>
                <w:rFonts w:ascii="Arial" w:hAnsi="Arial" w:cs="Arial"/>
                <w:color w:val="000000"/>
                <w:szCs w:val="24"/>
              </w:rPr>
              <w:t>Hourly Rate</w:t>
            </w:r>
          </w:p>
        </w:tc>
        <w:tc>
          <w:tcPr>
            <w:tcW w:w="1504" w:type="dxa"/>
            <w:tcBorders>
              <w:top w:val="single" w:color="auto" w:sz="4" w:space="0"/>
              <w:left w:val="nil"/>
              <w:bottom w:val="single" w:color="auto" w:sz="4" w:space="0"/>
              <w:right w:val="single" w:color="auto" w:sz="4" w:space="0"/>
            </w:tcBorders>
            <w:shd w:val="clear" w:color="auto" w:fill="auto"/>
            <w:vAlign w:val="bottom"/>
            <w:hideMark/>
          </w:tcPr>
          <w:p w:rsidRPr="004D49C1" w:rsidR="00B2606E" w:rsidP="0054698C" w:rsidRDefault="00B2606E" w14:paraId="7F202795" w14:textId="77777777">
            <w:pPr>
              <w:jc w:val="center"/>
              <w:rPr>
                <w:rFonts w:ascii="Arial" w:hAnsi="Arial" w:cs="Arial"/>
                <w:color w:val="000000"/>
                <w:szCs w:val="24"/>
              </w:rPr>
            </w:pPr>
            <w:r w:rsidRPr="004D49C1">
              <w:rPr>
                <w:rFonts w:ascii="Arial" w:hAnsi="Arial" w:cs="Arial"/>
                <w:color w:val="000000"/>
                <w:szCs w:val="24"/>
              </w:rPr>
              <w:t xml:space="preserve"> Cost Per Response </w:t>
            </w:r>
          </w:p>
        </w:tc>
        <w:tc>
          <w:tcPr>
            <w:tcW w:w="1645" w:type="dxa"/>
            <w:tcBorders>
              <w:top w:val="single" w:color="auto" w:sz="4" w:space="0"/>
              <w:left w:val="nil"/>
              <w:bottom w:val="single" w:color="auto" w:sz="4" w:space="0"/>
              <w:right w:val="single" w:color="auto" w:sz="4" w:space="0"/>
            </w:tcBorders>
            <w:shd w:val="clear" w:color="auto" w:fill="auto"/>
            <w:vAlign w:val="bottom"/>
            <w:hideMark/>
          </w:tcPr>
          <w:p w:rsidRPr="004D49C1" w:rsidR="00B2606E" w:rsidP="0054698C" w:rsidRDefault="00B2606E" w14:paraId="0F9B7345" w14:textId="77777777">
            <w:pPr>
              <w:jc w:val="center"/>
              <w:rPr>
                <w:rFonts w:ascii="Arial" w:hAnsi="Arial" w:cs="Arial"/>
                <w:color w:val="000000"/>
                <w:szCs w:val="24"/>
              </w:rPr>
            </w:pPr>
            <w:r w:rsidRPr="004D49C1">
              <w:rPr>
                <w:rFonts w:ascii="Arial" w:hAnsi="Arial" w:cs="Arial"/>
                <w:color w:val="000000"/>
                <w:szCs w:val="24"/>
              </w:rPr>
              <w:t>Total Responses</w:t>
            </w:r>
          </w:p>
        </w:tc>
        <w:tc>
          <w:tcPr>
            <w:tcW w:w="2017" w:type="dxa"/>
            <w:tcBorders>
              <w:top w:val="single" w:color="auto" w:sz="4" w:space="0"/>
              <w:left w:val="nil"/>
              <w:bottom w:val="single" w:color="auto" w:sz="4" w:space="0"/>
              <w:right w:val="single" w:color="auto" w:sz="4" w:space="0"/>
            </w:tcBorders>
            <w:shd w:val="clear" w:color="auto" w:fill="auto"/>
            <w:vAlign w:val="bottom"/>
            <w:hideMark/>
          </w:tcPr>
          <w:p w:rsidRPr="004D49C1" w:rsidR="00B2606E" w:rsidP="0054698C" w:rsidRDefault="00B2606E" w14:paraId="59A1E65F" w14:textId="77777777">
            <w:pPr>
              <w:jc w:val="center"/>
              <w:rPr>
                <w:rFonts w:ascii="Arial" w:hAnsi="Arial" w:cs="Arial"/>
                <w:color w:val="000000"/>
                <w:szCs w:val="24"/>
              </w:rPr>
            </w:pPr>
            <w:r w:rsidRPr="004D49C1">
              <w:rPr>
                <w:rFonts w:ascii="Arial" w:hAnsi="Arial" w:cs="Arial"/>
                <w:color w:val="000000"/>
                <w:szCs w:val="24"/>
              </w:rPr>
              <w:t>Total</w:t>
            </w:r>
          </w:p>
        </w:tc>
      </w:tr>
      <w:tr w:rsidRPr="004D49C1" w:rsidR="00B2606E" w:rsidTr="0054698C" w14:paraId="137539B7" w14:textId="77777777">
        <w:trPr>
          <w:trHeight w:val="288"/>
        </w:trPr>
        <w:tc>
          <w:tcPr>
            <w:tcW w:w="656" w:type="dxa"/>
            <w:tcBorders>
              <w:top w:val="nil"/>
              <w:left w:val="single" w:color="auto" w:sz="4" w:space="0"/>
              <w:bottom w:val="single" w:color="auto" w:sz="4" w:space="0"/>
              <w:right w:val="single" w:color="auto" w:sz="4" w:space="0"/>
            </w:tcBorders>
            <w:shd w:val="clear" w:color="auto" w:fill="auto"/>
            <w:vAlign w:val="bottom"/>
            <w:hideMark/>
          </w:tcPr>
          <w:p w:rsidRPr="004D49C1" w:rsidR="00B2606E" w:rsidP="0054698C" w:rsidRDefault="00B2606E" w14:paraId="7BC1AF9D" w14:textId="18E196E5">
            <w:pPr>
              <w:jc w:val="center"/>
              <w:rPr>
                <w:rFonts w:ascii="Arial" w:hAnsi="Arial" w:cs="Arial"/>
                <w:color w:val="000000"/>
                <w:szCs w:val="24"/>
              </w:rPr>
            </w:pPr>
            <w:r w:rsidRPr="004D49C1">
              <w:rPr>
                <w:rFonts w:ascii="Arial" w:hAnsi="Arial" w:cs="Arial"/>
                <w:color w:val="000000"/>
                <w:szCs w:val="24"/>
              </w:rPr>
              <w:t>11</w:t>
            </w:r>
          </w:p>
        </w:tc>
        <w:tc>
          <w:tcPr>
            <w:tcW w:w="537" w:type="dxa"/>
            <w:tcBorders>
              <w:top w:val="nil"/>
              <w:left w:val="nil"/>
              <w:bottom w:val="single" w:color="auto" w:sz="4" w:space="0"/>
              <w:right w:val="single" w:color="auto" w:sz="4" w:space="0"/>
            </w:tcBorders>
            <w:shd w:val="clear" w:color="auto" w:fill="auto"/>
            <w:vAlign w:val="bottom"/>
            <w:hideMark/>
          </w:tcPr>
          <w:p w:rsidRPr="004D49C1" w:rsidR="00B2606E" w:rsidP="0054698C" w:rsidRDefault="000A3F7A" w14:paraId="507B03AF" w14:textId="295125AF">
            <w:pPr>
              <w:jc w:val="center"/>
              <w:rPr>
                <w:rFonts w:ascii="Arial" w:hAnsi="Arial" w:cs="Arial"/>
                <w:color w:val="000000"/>
                <w:szCs w:val="24"/>
              </w:rPr>
            </w:pPr>
            <w:r>
              <w:rPr>
                <w:rFonts w:ascii="Arial" w:hAnsi="Arial" w:cs="Arial"/>
                <w:color w:val="000000"/>
                <w:szCs w:val="24"/>
              </w:rPr>
              <w:t>10</w:t>
            </w:r>
          </w:p>
        </w:tc>
        <w:tc>
          <w:tcPr>
            <w:tcW w:w="746" w:type="dxa"/>
            <w:tcBorders>
              <w:top w:val="nil"/>
              <w:left w:val="nil"/>
              <w:bottom w:val="single" w:color="auto" w:sz="4" w:space="0"/>
              <w:right w:val="single" w:color="auto" w:sz="4" w:space="0"/>
            </w:tcBorders>
            <w:shd w:val="clear" w:color="auto" w:fill="auto"/>
            <w:vAlign w:val="bottom"/>
            <w:hideMark/>
          </w:tcPr>
          <w:p w:rsidRPr="004D49C1" w:rsidR="00B2606E" w:rsidP="0054698C" w:rsidRDefault="00B2606E" w14:paraId="1A492EC3" w14:textId="291F6253">
            <w:pPr>
              <w:jc w:val="center"/>
              <w:rPr>
                <w:rFonts w:ascii="Arial" w:hAnsi="Arial" w:cs="Arial"/>
                <w:color w:val="000000"/>
                <w:szCs w:val="24"/>
              </w:rPr>
            </w:pPr>
            <w:r w:rsidRPr="004D49C1">
              <w:rPr>
                <w:rFonts w:ascii="Arial" w:hAnsi="Arial" w:cs="Arial"/>
                <w:color w:val="000000"/>
                <w:szCs w:val="24"/>
              </w:rPr>
              <w:t>10</w:t>
            </w:r>
            <w:r w:rsidR="000A3F7A">
              <w:rPr>
                <w:rFonts w:ascii="Arial" w:hAnsi="Arial" w:cs="Arial"/>
                <w:color w:val="000000"/>
                <w:szCs w:val="24"/>
              </w:rPr>
              <w:t>m</w:t>
            </w:r>
          </w:p>
        </w:tc>
        <w:tc>
          <w:tcPr>
            <w:tcW w:w="1193" w:type="dxa"/>
            <w:tcBorders>
              <w:top w:val="nil"/>
              <w:left w:val="nil"/>
              <w:bottom w:val="single" w:color="auto" w:sz="4" w:space="0"/>
              <w:right w:val="single" w:color="auto" w:sz="4" w:space="0"/>
            </w:tcBorders>
            <w:shd w:val="clear" w:color="auto" w:fill="auto"/>
            <w:vAlign w:val="bottom"/>
            <w:hideMark/>
          </w:tcPr>
          <w:p w:rsidRPr="004D49C1" w:rsidR="00B2606E" w:rsidP="00B2606E" w:rsidRDefault="00B2606E" w14:paraId="0493AEAF" w14:textId="6BDC05ED">
            <w:pPr>
              <w:jc w:val="center"/>
              <w:rPr>
                <w:rFonts w:ascii="Arial" w:hAnsi="Arial" w:cs="Arial"/>
                <w:color w:val="000000"/>
                <w:szCs w:val="24"/>
              </w:rPr>
            </w:pPr>
            <w:r w:rsidRPr="004D49C1">
              <w:rPr>
                <w:rFonts w:ascii="Arial" w:hAnsi="Arial" w:cs="Arial"/>
                <w:color w:val="000000"/>
                <w:szCs w:val="24"/>
              </w:rPr>
              <w:t xml:space="preserve"> $</w:t>
            </w:r>
            <w:r w:rsidR="004416EC">
              <w:rPr>
                <w:rFonts w:ascii="Arial" w:hAnsi="Arial" w:cs="Arial"/>
                <w:color w:val="000000"/>
                <w:szCs w:val="24"/>
              </w:rPr>
              <w:t>39.87</w:t>
            </w:r>
            <w:r w:rsidRPr="004D49C1">
              <w:rPr>
                <w:rFonts w:ascii="Arial" w:hAnsi="Arial" w:cs="Arial"/>
                <w:color w:val="000000"/>
                <w:szCs w:val="24"/>
              </w:rPr>
              <w:t xml:space="preserve"> </w:t>
            </w:r>
          </w:p>
        </w:tc>
        <w:tc>
          <w:tcPr>
            <w:tcW w:w="1504" w:type="dxa"/>
            <w:tcBorders>
              <w:top w:val="nil"/>
              <w:left w:val="nil"/>
              <w:bottom w:val="single" w:color="auto" w:sz="4" w:space="0"/>
              <w:right w:val="single" w:color="auto" w:sz="4" w:space="0"/>
            </w:tcBorders>
            <w:shd w:val="clear" w:color="auto" w:fill="auto"/>
            <w:vAlign w:val="bottom"/>
            <w:hideMark/>
          </w:tcPr>
          <w:p w:rsidRPr="004D49C1" w:rsidR="00B2606E" w:rsidP="000635D2" w:rsidRDefault="00B2606E" w14:paraId="30A119C3" w14:textId="57010C4C">
            <w:pPr>
              <w:jc w:val="center"/>
              <w:rPr>
                <w:rFonts w:ascii="Arial" w:hAnsi="Arial" w:cs="Arial"/>
                <w:color w:val="000000"/>
                <w:szCs w:val="24"/>
              </w:rPr>
            </w:pPr>
            <w:r w:rsidRPr="004D49C1">
              <w:rPr>
                <w:rFonts w:ascii="Arial" w:hAnsi="Arial" w:cs="Arial"/>
                <w:color w:val="000000"/>
                <w:szCs w:val="24"/>
              </w:rPr>
              <w:t xml:space="preserve"> $</w:t>
            </w:r>
            <w:r w:rsidR="004416EC">
              <w:rPr>
                <w:rFonts w:ascii="Arial" w:hAnsi="Arial" w:cs="Arial"/>
                <w:color w:val="000000"/>
                <w:szCs w:val="24"/>
              </w:rPr>
              <w:t>6.65</w:t>
            </w:r>
            <w:r w:rsidRPr="004D49C1">
              <w:rPr>
                <w:rFonts w:ascii="Arial" w:hAnsi="Arial" w:cs="Arial"/>
                <w:color w:val="000000"/>
                <w:szCs w:val="24"/>
              </w:rPr>
              <w:t xml:space="preserve"> </w:t>
            </w:r>
          </w:p>
        </w:tc>
        <w:tc>
          <w:tcPr>
            <w:tcW w:w="1645" w:type="dxa"/>
            <w:tcBorders>
              <w:top w:val="nil"/>
              <w:left w:val="nil"/>
              <w:bottom w:val="single" w:color="auto" w:sz="4" w:space="0"/>
              <w:right w:val="single" w:color="auto" w:sz="4" w:space="0"/>
            </w:tcBorders>
            <w:shd w:val="clear" w:color="auto" w:fill="auto"/>
            <w:vAlign w:val="bottom"/>
            <w:hideMark/>
          </w:tcPr>
          <w:p w:rsidRPr="004D49C1" w:rsidR="00B2606E" w:rsidP="000635D2" w:rsidRDefault="00B2606E" w14:paraId="2F660B6F" w14:textId="608B6CE1">
            <w:pPr>
              <w:jc w:val="center"/>
              <w:rPr>
                <w:rFonts w:ascii="Arial" w:hAnsi="Arial" w:cs="Arial"/>
                <w:color w:val="000000"/>
                <w:szCs w:val="24"/>
              </w:rPr>
            </w:pPr>
            <w:r w:rsidRPr="004D49C1">
              <w:rPr>
                <w:rFonts w:ascii="Arial" w:hAnsi="Arial" w:cs="Arial"/>
                <w:color w:val="000000"/>
                <w:szCs w:val="24"/>
              </w:rPr>
              <w:t xml:space="preserve">  </w:t>
            </w:r>
            <w:r w:rsidRPr="004D49C1" w:rsidR="000635D2">
              <w:rPr>
                <w:rFonts w:ascii="Arial" w:hAnsi="Arial" w:cs="Arial"/>
                <w:color w:val="000000"/>
                <w:szCs w:val="24"/>
              </w:rPr>
              <w:t>2</w:t>
            </w:r>
            <w:r w:rsidR="000A3F7A">
              <w:rPr>
                <w:rFonts w:ascii="Arial" w:hAnsi="Arial" w:cs="Arial"/>
                <w:color w:val="000000"/>
                <w:szCs w:val="24"/>
              </w:rPr>
              <w:t>5</w:t>
            </w:r>
            <w:r w:rsidRPr="004D49C1" w:rsidR="000635D2">
              <w:rPr>
                <w:rFonts w:ascii="Arial" w:hAnsi="Arial" w:cs="Arial"/>
                <w:color w:val="000000"/>
                <w:szCs w:val="24"/>
              </w:rPr>
              <w:t>0</w:t>
            </w:r>
            <w:r w:rsidRPr="004D49C1">
              <w:rPr>
                <w:rFonts w:ascii="Arial" w:hAnsi="Arial" w:cs="Arial"/>
                <w:color w:val="000000"/>
                <w:szCs w:val="24"/>
              </w:rPr>
              <w:t xml:space="preserve"> </w:t>
            </w:r>
          </w:p>
        </w:tc>
        <w:tc>
          <w:tcPr>
            <w:tcW w:w="2017" w:type="dxa"/>
            <w:tcBorders>
              <w:top w:val="nil"/>
              <w:left w:val="nil"/>
              <w:bottom w:val="single" w:color="auto" w:sz="4" w:space="0"/>
              <w:right w:val="single" w:color="auto" w:sz="4" w:space="0"/>
            </w:tcBorders>
            <w:shd w:val="clear" w:color="auto" w:fill="auto"/>
            <w:vAlign w:val="bottom"/>
            <w:hideMark/>
          </w:tcPr>
          <w:p w:rsidRPr="004D49C1" w:rsidR="00B2606E" w:rsidP="000635D2" w:rsidRDefault="000635D2" w14:paraId="78D160A3" w14:textId="001A9680">
            <w:pPr>
              <w:jc w:val="center"/>
              <w:rPr>
                <w:rFonts w:ascii="Arial" w:hAnsi="Arial" w:cs="Arial"/>
                <w:color w:val="000000"/>
                <w:szCs w:val="24"/>
              </w:rPr>
            </w:pPr>
            <w:r w:rsidRPr="004D49C1">
              <w:rPr>
                <w:rFonts w:ascii="Arial" w:hAnsi="Arial" w:cs="Arial"/>
                <w:color w:val="000000"/>
                <w:szCs w:val="24"/>
              </w:rPr>
              <w:t xml:space="preserve"> $1</w:t>
            </w:r>
            <w:r w:rsidR="000A3F7A">
              <w:rPr>
                <w:rFonts w:ascii="Arial" w:hAnsi="Arial" w:cs="Arial"/>
                <w:color w:val="000000"/>
                <w:szCs w:val="24"/>
              </w:rPr>
              <w:t>,</w:t>
            </w:r>
            <w:r w:rsidR="004416EC">
              <w:rPr>
                <w:rFonts w:ascii="Arial" w:hAnsi="Arial" w:cs="Arial"/>
                <w:color w:val="000000"/>
                <w:szCs w:val="24"/>
              </w:rPr>
              <w:t>662.50</w:t>
            </w:r>
          </w:p>
        </w:tc>
      </w:tr>
      <w:tr w:rsidRPr="004D49C1" w:rsidR="00B2606E" w:rsidTr="0054698C" w14:paraId="03E7DE56" w14:textId="77777777">
        <w:trPr>
          <w:trHeight w:val="288"/>
        </w:trPr>
        <w:tc>
          <w:tcPr>
            <w:tcW w:w="6281" w:type="dxa"/>
            <w:gridSpan w:val="6"/>
            <w:tcBorders>
              <w:top w:val="single" w:color="auto" w:sz="4" w:space="0"/>
              <w:left w:val="single" w:color="auto" w:sz="4" w:space="0"/>
              <w:bottom w:val="single" w:color="auto" w:sz="4" w:space="0"/>
              <w:right w:val="single" w:color="auto" w:sz="4" w:space="0"/>
            </w:tcBorders>
            <w:shd w:val="clear" w:color="auto" w:fill="auto"/>
            <w:vAlign w:val="bottom"/>
            <w:hideMark/>
          </w:tcPr>
          <w:p w:rsidRPr="004D49C1" w:rsidR="00B2606E" w:rsidP="0054698C" w:rsidRDefault="00B2606E" w14:paraId="5416B88A" w14:textId="77777777">
            <w:pPr>
              <w:rPr>
                <w:rFonts w:ascii="Arial" w:hAnsi="Arial" w:cs="Arial"/>
                <w:color w:val="000000"/>
                <w:szCs w:val="24"/>
              </w:rPr>
            </w:pPr>
            <w:r w:rsidRPr="004D49C1">
              <w:rPr>
                <w:rFonts w:ascii="Arial" w:hAnsi="Arial" w:cs="Arial"/>
                <w:color w:val="000000"/>
                <w:szCs w:val="24"/>
              </w:rPr>
              <w:t>Overhead at 100% Salary</w:t>
            </w:r>
          </w:p>
        </w:tc>
        <w:tc>
          <w:tcPr>
            <w:tcW w:w="2017" w:type="dxa"/>
            <w:tcBorders>
              <w:top w:val="nil"/>
              <w:left w:val="nil"/>
              <w:bottom w:val="single" w:color="auto" w:sz="4" w:space="0"/>
              <w:right w:val="single" w:color="auto" w:sz="4" w:space="0"/>
            </w:tcBorders>
            <w:shd w:val="clear" w:color="auto" w:fill="auto"/>
            <w:vAlign w:val="bottom"/>
            <w:hideMark/>
          </w:tcPr>
          <w:p w:rsidRPr="004D49C1" w:rsidR="00B2606E" w:rsidP="000635D2" w:rsidRDefault="000A3F7A" w14:paraId="06B25EB4" w14:textId="3A88321F">
            <w:pPr>
              <w:jc w:val="center"/>
              <w:rPr>
                <w:rFonts w:ascii="Arial" w:hAnsi="Arial" w:cs="Arial"/>
                <w:color w:val="000000"/>
                <w:szCs w:val="24"/>
              </w:rPr>
            </w:pPr>
            <w:r w:rsidRPr="000A3F7A">
              <w:rPr>
                <w:rFonts w:ascii="Arial" w:hAnsi="Arial" w:cs="Arial"/>
                <w:color w:val="000000"/>
                <w:szCs w:val="24"/>
              </w:rPr>
              <w:t>$1,</w:t>
            </w:r>
            <w:r w:rsidR="004416EC">
              <w:rPr>
                <w:rFonts w:ascii="Arial" w:hAnsi="Arial" w:cs="Arial"/>
                <w:color w:val="000000"/>
                <w:szCs w:val="24"/>
              </w:rPr>
              <w:t>662.50</w:t>
            </w:r>
          </w:p>
        </w:tc>
      </w:tr>
      <w:tr w:rsidRPr="004D49C1" w:rsidR="00B2606E" w:rsidTr="0054698C" w14:paraId="3407B8F6" w14:textId="77777777">
        <w:trPr>
          <w:trHeight w:val="587"/>
        </w:trPr>
        <w:tc>
          <w:tcPr>
            <w:tcW w:w="6281" w:type="dxa"/>
            <w:gridSpan w:val="6"/>
            <w:tcBorders>
              <w:top w:val="single" w:color="auto" w:sz="4" w:space="0"/>
              <w:left w:val="single" w:color="auto" w:sz="4" w:space="0"/>
              <w:bottom w:val="single" w:color="auto" w:sz="4" w:space="0"/>
              <w:right w:val="single" w:color="auto" w:sz="4" w:space="0"/>
            </w:tcBorders>
            <w:shd w:val="clear" w:color="auto" w:fill="auto"/>
            <w:vAlign w:val="center"/>
            <w:hideMark/>
          </w:tcPr>
          <w:p w:rsidRPr="004D49C1" w:rsidR="00B2606E" w:rsidP="0054698C" w:rsidRDefault="00B2606E" w14:paraId="71492C88" w14:textId="77777777">
            <w:pPr>
              <w:tabs>
                <w:tab w:val="left" w:pos="480"/>
                <w:tab w:val="right" w:pos="4680"/>
                <w:tab w:val="right" w:pos="8640"/>
              </w:tabs>
              <w:ind w:right="35"/>
              <w:jc w:val="center"/>
              <w:rPr>
                <w:rFonts w:ascii="Arial" w:hAnsi="Arial" w:cs="Arial"/>
                <w:b/>
                <w:szCs w:val="24"/>
              </w:rPr>
            </w:pPr>
            <w:r w:rsidRPr="004D49C1">
              <w:rPr>
                <w:rFonts w:ascii="Arial" w:hAnsi="Arial" w:cs="Arial"/>
                <w:b/>
                <w:szCs w:val="24"/>
              </w:rPr>
              <w:t>Overhead costs are 100% of salary and are same as the wage listed above and the amounts are included in the total.</w:t>
            </w:r>
          </w:p>
        </w:tc>
        <w:tc>
          <w:tcPr>
            <w:tcW w:w="2017" w:type="dxa"/>
            <w:tcBorders>
              <w:top w:val="nil"/>
              <w:left w:val="nil"/>
              <w:bottom w:val="single" w:color="auto" w:sz="4" w:space="0"/>
              <w:right w:val="single" w:color="auto" w:sz="4" w:space="0"/>
            </w:tcBorders>
            <w:shd w:val="clear" w:color="auto" w:fill="auto"/>
            <w:vAlign w:val="bottom"/>
            <w:hideMark/>
          </w:tcPr>
          <w:p w:rsidRPr="004D49C1" w:rsidR="00B2606E" w:rsidP="0054698C" w:rsidRDefault="00B2606E" w14:paraId="1F3E4C74" w14:textId="77777777">
            <w:pPr>
              <w:jc w:val="center"/>
              <w:rPr>
                <w:rFonts w:ascii="Arial" w:hAnsi="Arial" w:cs="Arial"/>
                <w:color w:val="000000"/>
                <w:szCs w:val="24"/>
              </w:rPr>
            </w:pPr>
            <w:r w:rsidRPr="004D49C1">
              <w:rPr>
                <w:rFonts w:ascii="Arial" w:hAnsi="Arial" w:cs="Arial"/>
                <w:color w:val="000000"/>
                <w:szCs w:val="24"/>
              </w:rPr>
              <w:t> </w:t>
            </w:r>
          </w:p>
        </w:tc>
      </w:tr>
      <w:tr w:rsidRPr="004D49C1" w:rsidR="00B2606E" w:rsidTr="0054698C" w14:paraId="6D87D78E" w14:textId="77777777">
        <w:trPr>
          <w:trHeight w:val="288"/>
        </w:trPr>
        <w:tc>
          <w:tcPr>
            <w:tcW w:w="6281" w:type="dxa"/>
            <w:gridSpan w:val="6"/>
            <w:tcBorders>
              <w:top w:val="single" w:color="auto" w:sz="4" w:space="0"/>
              <w:left w:val="single" w:color="auto" w:sz="4" w:space="0"/>
              <w:bottom w:val="single" w:color="auto" w:sz="4" w:space="0"/>
              <w:right w:val="single" w:color="auto" w:sz="4" w:space="0"/>
            </w:tcBorders>
            <w:shd w:val="clear" w:color="auto" w:fill="auto"/>
            <w:vAlign w:val="bottom"/>
            <w:hideMark/>
          </w:tcPr>
          <w:p w:rsidRPr="004D49C1" w:rsidR="00B2606E" w:rsidP="0054698C" w:rsidRDefault="00B2606E" w14:paraId="274F7F66" w14:textId="77777777">
            <w:pPr>
              <w:rPr>
                <w:rFonts w:ascii="Arial" w:hAnsi="Arial" w:cs="Arial"/>
                <w:color w:val="000000"/>
                <w:szCs w:val="24"/>
              </w:rPr>
            </w:pPr>
            <w:r w:rsidRPr="004D49C1">
              <w:rPr>
                <w:rFonts w:ascii="Arial" w:hAnsi="Arial" w:cs="Arial"/>
                <w:color w:val="000000"/>
                <w:szCs w:val="24"/>
              </w:rPr>
              <w:t>Processing / Analyzing Costs</w:t>
            </w:r>
          </w:p>
        </w:tc>
        <w:tc>
          <w:tcPr>
            <w:tcW w:w="2017" w:type="dxa"/>
            <w:tcBorders>
              <w:top w:val="nil"/>
              <w:left w:val="nil"/>
              <w:bottom w:val="single" w:color="auto" w:sz="4" w:space="0"/>
              <w:right w:val="single" w:color="auto" w:sz="4" w:space="0"/>
            </w:tcBorders>
            <w:shd w:val="clear" w:color="auto" w:fill="auto"/>
            <w:vAlign w:val="bottom"/>
            <w:hideMark/>
          </w:tcPr>
          <w:p w:rsidRPr="004D49C1" w:rsidR="00B2606E" w:rsidP="0054698C" w:rsidRDefault="002C4A66" w14:paraId="2FD73137" w14:textId="1BE67C1E">
            <w:pPr>
              <w:jc w:val="center"/>
              <w:rPr>
                <w:rFonts w:ascii="Arial" w:hAnsi="Arial" w:cs="Arial"/>
                <w:color w:val="000000"/>
                <w:szCs w:val="24"/>
              </w:rPr>
            </w:pPr>
            <w:r w:rsidRPr="004D49C1">
              <w:rPr>
                <w:rFonts w:ascii="Arial" w:hAnsi="Arial" w:cs="Arial"/>
                <w:color w:val="000000"/>
                <w:szCs w:val="24"/>
              </w:rPr>
              <w:t>$</w:t>
            </w:r>
            <w:r w:rsidRPr="004D49C1" w:rsidR="000635D2">
              <w:rPr>
                <w:rFonts w:ascii="Arial" w:hAnsi="Arial" w:cs="Arial"/>
                <w:color w:val="000000"/>
                <w:szCs w:val="24"/>
              </w:rPr>
              <w:t>0</w:t>
            </w:r>
          </w:p>
        </w:tc>
      </w:tr>
      <w:tr w:rsidRPr="004D49C1" w:rsidR="00B2606E" w:rsidTr="0054698C" w14:paraId="4DEE2FAF" w14:textId="77777777">
        <w:trPr>
          <w:trHeight w:val="288"/>
        </w:trPr>
        <w:tc>
          <w:tcPr>
            <w:tcW w:w="6281" w:type="dxa"/>
            <w:gridSpan w:val="6"/>
            <w:tcBorders>
              <w:top w:val="single" w:color="auto" w:sz="4" w:space="0"/>
              <w:left w:val="single" w:color="auto" w:sz="4" w:space="0"/>
              <w:bottom w:val="single" w:color="auto" w:sz="4" w:space="0"/>
              <w:right w:val="single" w:color="auto" w:sz="4" w:space="0"/>
            </w:tcBorders>
            <w:shd w:val="clear" w:color="auto" w:fill="auto"/>
            <w:vAlign w:val="bottom"/>
            <w:hideMark/>
          </w:tcPr>
          <w:p w:rsidRPr="004D49C1" w:rsidR="00B2606E" w:rsidP="0054698C" w:rsidRDefault="00B2606E" w14:paraId="0F6554DB" w14:textId="77777777">
            <w:pPr>
              <w:rPr>
                <w:rFonts w:ascii="Arial" w:hAnsi="Arial" w:cs="Arial"/>
                <w:color w:val="000000"/>
                <w:szCs w:val="24"/>
              </w:rPr>
            </w:pPr>
            <w:r w:rsidRPr="004D49C1">
              <w:rPr>
                <w:rFonts w:ascii="Arial" w:hAnsi="Arial" w:cs="Arial"/>
                <w:color w:val="000000"/>
                <w:szCs w:val="24"/>
              </w:rPr>
              <w:t>Printing and Production Cost</w:t>
            </w:r>
          </w:p>
        </w:tc>
        <w:tc>
          <w:tcPr>
            <w:tcW w:w="2017" w:type="dxa"/>
            <w:tcBorders>
              <w:top w:val="nil"/>
              <w:left w:val="nil"/>
              <w:bottom w:val="single" w:color="auto" w:sz="4" w:space="0"/>
              <w:right w:val="single" w:color="auto" w:sz="4" w:space="0"/>
            </w:tcBorders>
            <w:shd w:val="clear" w:color="auto" w:fill="auto"/>
            <w:vAlign w:val="bottom"/>
            <w:hideMark/>
          </w:tcPr>
          <w:p w:rsidRPr="004D49C1" w:rsidR="00B2606E" w:rsidP="000635D2" w:rsidRDefault="002C4A66" w14:paraId="3D75092F" w14:textId="37F3F6E3">
            <w:pPr>
              <w:jc w:val="center"/>
              <w:rPr>
                <w:rFonts w:ascii="Arial" w:hAnsi="Arial" w:cs="Arial"/>
                <w:color w:val="000000"/>
                <w:szCs w:val="24"/>
              </w:rPr>
            </w:pPr>
            <w:r w:rsidRPr="004D49C1">
              <w:rPr>
                <w:rFonts w:ascii="Arial" w:hAnsi="Arial" w:cs="Arial"/>
                <w:color w:val="000000"/>
                <w:szCs w:val="24"/>
              </w:rPr>
              <w:t xml:space="preserve"> </w:t>
            </w:r>
            <w:r w:rsidRPr="004D49C1" w:rsidR="000635D2">
              <w:rPr>
                <w:rFonts w:ascii="Arial" w:hAnsi="Arial" w:cs="Arial"/>
                <w:color w:val="000000"/>
                <w:szCs w:val="24"/>
              </w:rPr>
              <w:t>$0</w:t>
            </w:r>
            <w:r w:rsidRPr="004D49C1" w:rsidR="00B2606E">
              <w:rPr>
                <w:rFonts w:ascii="Arial" w:hAnsi="Arial" w:cs="Arial"/>
                <w:color w:val="000000"/>
                <w:szCs w:val="24"/>
              </w:rPr>
              <w:t xml:space="preserve"> </w:t>
            </w:r>
          </w:p>
        </w:tc>
      </w:tr>
      <w:tr w:rsidRPr="004D49C1" w:rsidR="00B2606E" w:rsidTr="0054698C" w14:paraId="6E64FCC8" w14:textId="77777777">
        <w:trPr>
          <w:trHeight w:val="288"/>
        </w:trPr>
        <w:tc>
          <w:tcPr>
            <w:tcW w:w="6281" w:type="dxa"/>
            <w:gridSpan w:val="6"/>
            <w:tcBorders>
              <w:top w:val="single" w:color="auto" w:sz="4" w:space="0"/>
              <w:left w:val="single" w:color="auto" w:sz="4" w:space="0"/>
              <w:bottom w:val="single" w:color="auto" w:sz="4" w:space="0"/>
              <w:right w:val="single" w:color="auto" w:sz="4" w:space="0"/>
            </w:tcBorders>
            <w:shd w:val="clear" w:color="auto" w:fill="auto"/>
            <w:vAlign w:val="bottom"/>
            <w:hideMark/>
          </w:tcPr>
          <w:p w:rsidRPr="004D49C1" w:rsidR="00B2606E" w:rsidP="0054698C" w:rsidRDefault="00B2606E" w14:paraId="45A81DB9" w14:textId="77777777">
            <w:pPr>
              <w:rPr>
                <w:rFonts w:ascii="Arial" w:hAnsi="Arial" w:cs="Arial"/>
                <w:color w:val="000000"/>
                <w:szCs w:val="24"/>
              </w:rPr>
            </w:pPr>
            <w:r w:rsidRPr="004D49C1">
              <w:rPr>
                <w:rFonts w:ascii="Arial" w:hAnsi="Arial" w:cs="Arial"/>
                <w:color w:val="000000"/>
                <w:szCs w:val="24"/>
              </w:rPr>
              <w:t>Total Cost to Government</w:t>
            </w:r>
          </w:p>
        </w:tc>
        <w:tc>
          <w:tcPr>
            <w:tcW w:w="2017" w:type="dxa"/>
            <w:tcBorders>
              <w:top w:val="nil"/>
              <w:left w:val="nil"/>
              <w:bottom w:val="single" w:color="auto" w:sz="4" w:space="0"/>
              <w:right w:val="single" w:color="auto" w:sz="4" w:space="0"/>
            </w:tcBorders>
            <w:shd w:val="clear" w:color="auto" w:fill="auto"/>
            <w:vAlign w:val="bottom"/>
            <w:hideMark/>
          </w:tcPr>
          <w:p w:rsidRPr="004D49C1" w:rsidR="00B2606E" w:rsidP="000635D2" w:rsidRDefault="00B2606E" w14:paraId="5D89112E" w14:textId="771F4E6D">
            <w:pPr>
              <w:jc w:val="center"/>
              <w:rPr>
                <w:rFonts w:ascii="Arial" w:hAnsi="Arial" w:cs="Arial"/>
                <w:color w:val="000000"/>
                <w:szCs w:val="24"/>
              </w:rPr>
            </w:pPr>
            <w:r w:rsidRPr="004D49C1">
              <w:rPr>
                <w:rFonts w:ascii="Arial" w:hAnsi="Arial" w:cs="Arial"/>
                <w:color w:val="000000"/>
                <w:szCs w:val="24"/>
              </w:rPr>
              <w:t xml:space="preserve"> </w:t>
            </w:r>
            <w:r w:rsidRPr="000A3F7A" w:rsidR="000A3F7A">
              <w:rPr>
                <w:rFonts w:ascii="Arial" w:hAnsi="Arial" w:cs="Arial"/>
                <w:color w:val="000000"/>
                <w:szCs w:val="24"/>
              </w:rPr>
              <w:t>$1,</w:t>
            </w:r>
            <w:r w:rsidR="004416EC">
              <w:rPr>
                <w:rFonts w:ascii="Arial" w:hAnsi="Arial" w:cs="Arial"/>
                <w:color w:val="000000"/>
                <w:szCs w:val="24"/>
              </w:rPr>
              <w:t>662.50</w:t>
            </w:r>
          </w:p>
        </w:tc>
      </w:tr>
    </w:tbl>
    <w:p w:rsidR="002C4A66" w:rsidP="009C0211" w:rsidRDefault="002C4A66" w14:paraId="6E7C2BBB" w14:textId="0EDD7CAE">
      <w:pPr>
        <w:jc w:val="both"/>
        <w:rPr>
          <w:rFonts w:ascii="Arial" w:hAnsi="Arial" w:cs="Arial"/>
          <w:szCs w:val="24"/>
        </w:rPr>
      </w:pPr>
    </w:p>
    <w:p w:rsidR="00AC22D7" w:rsidP="009C0211" w:rsidRDefault="00AC22D7" w14:paraId="6204DC17" w14:textId="6F7C3B60">
      <w:pPr>
        <w:jc w:val="both"/>
        <w:rPr>
          <w:rFonts w:ascii="Arial" w:hAnsi="Arial" w:cs="Arial"/>
          <w:szCs w:val="24"/>
        </w:rPr>
      </w:pPr>
    </w:p>
    <w:p w:rsidR="00AC22D7" w:rsidP="009C0211" w:rsidRDefault="00AC22D7" w14:paraId="0BFED24E" w14:textId="49D6BAB3">
      <w:pPr>
        <w:jc w:val="both"/>
        <w:rPr>
          <w:rFonts w:ascii="Arial" w:hAnsi="Arial" w:cs="Arial"/>
          <w:szCs w:val="24"/>
        </w:rPr>
      </w:pPr>
    </w:p>
    <w:p w:rsidR="00AC22D7" w:rsidP="009C0211" w:rsidRDefault="00AC22D7" w14:paraId="4DC53FFD" w14:textId="2334BA62">
      <w:pPr>
        <w:jc w:val="both"/>
        <w:rPr>
          <w:rFonts w:ascii="Arial" w:hAnsi="Arial" w:cs="Arial"/>
          <w:szCs w:val="24"/>
        </w:rPr>
      </w:pPr>
    </w:p>
    <w:p w:rsidR="00AC22D7" w:rsidP="009C0211" w:rsidRDefault="00AC22D7" w14:paraId="38DF038A" w14:textId="5E9798FA">
      <w:pPr>
        <w:jc w:val="both"/>
        <w:rPr>
          <w:rFonts w:ascii="Arial" w:hAnsi="Arial" w:cs="Arial"/>
          <w:szCs w:val="24"/>
        </w:rPr>
      </w:pPr>
    </w:p>
    <w:p w:rsidR="00AC22D7" w:rsidP="009C0211" w:rsidRDefault="00AC22D7" w14:paraId="78D49279" w14:textId="0E041C21">
      <w:pPr>
        <w:jc w:val="both"/>
        <w:rPr>
          <w:rFonts w:ascii="Arial" w:hAnsi="Arial" w:cs="Arial"/>
          <w:szCs w:val="24"/>
        </w:rPr>
      </w:pPr>
    </w:p>
    <w:p w:rsidR="00AC22D7" w:rsidP="009C0211" w:rsidRDefault="00AC22D7" w14:paraId="4EB7CE51" w14:textId="7C72D955">
      <w:pPr>
        <w:jc w:val="both"/>
        <w:rPr>
          <w:rFonts w:ascii="Arial" w:hAnsi="Arial" w:cs="Arial"/>
          <w:szCs w:val="24"/>
        </w:rPr>
      </w:pPr>
    </w:p>
    <w:p w:rsidR="00AC22D7" w:rsidP="009C0211" w:rsidRDefault="00AC22D7" w14:paraId="5D087EE6" w14:textId="29F9227C">
      <w:pPr>
        <w:jc w:val="both"/>
        <w:rPr>
          <w:rFonts w:ascii="Arial" w:hAnsi="Arial" w:cs="Arial"/>
          <w:szCs w:val="24"/>
        </w:rPr>
      </w:pPr>
    </w:p>
    <w:p w:rsidRPr="004D49C1" w:rsidR="00AC22D7" w:rsidP="009C0211" w:rsidRDefault="00AC22D7" w14:paraId="55ACBC39" w14:textId="77777777">
      <w:pPr>
        <w:jc w:val="both"/>
        <w:rPr>
          <w:rFonts w:ascii="Arial" w:hAnsi="Arial" w:cs="Arial"/>
          <w:szCs w:val="24"/>
        </w:rPr>
      </w:pPr>
    </w:p>
    <w:p w:rsidR="002C4A66" w:rsidP="009C0211" w:rsidRDefault="002C4A66" w14:paraId="2CA69BB2" w14:textId="1DFBCEBC">
      <w:pPr>
        <w:jc w:val="both"/>
        <w:rPr>
          <w:rFonts w:ascii="Arial" w:hAnsi="Arial" w:cs="Arial"/>
          <w:szCs w:val="24"/>
        </w:rPr>
      </w:pPr>
    </w:p>
    <w:p w:rsidRPr="004D49C1" w:rsidR="000A3F7A" w:rsidP="009C0211" w:rsidRDefault="000A3F7A" w14:paraId="6036C5CE" w14:textId="77777777">
      <w:pPr>
        <w:jc w:val="both"/>
        <w:rPr>
          <w:rFonts w:ascii="Arial" w:hAnsi="Arial" w:cs="Arial"/>
          <w:szCs w:val="24"/>
        </w:rPr>
      </w:pPr>
    </w:p>
    <w:p w:rsidRPr="004416EC" w:rsidR="00023C38" w:rsidP="00023C38" w:rsidRDefault="009C0211" w14:paraId="02157F51" w14:textId="3043ADE9">
      <w:pPr>
        <w:rPr>
          <w:rFonts w:ascii="Arial" w:hAnsi="Arial" w:cs="Arial"/>
          <w:szCs w:val="24"/>
        </w:rPr>
      </w:pPr>
      <w:r w:rsidRPr="004416EC">
        <w:rPr>
          <w:rFonts w:ascii="Arial" w:hAnsi="Arial" w:cs="Arial"/>
          <w:szCs w:val="24"/>
        </w:rPr>
        <w:t>Note: the hourly wage information above is based on the hourly 20</w:t>
      </w:r>
      <w:r w:rsidRPr="004416EC" w:rsidR="004416EC">
        <w:rPr>
          <w:rFonts w:ascii="Arial" w:hAnsi="Arial" w:cs="Arial"/>
          <w:szCs w:val="24"/>
        </w:rPr>
        <w:t>20</w:t>
      </w:r>
      <w:r w:rsidRPr="004416EC" w:rsidR="00DD552B">
        <w:rPr>
          <w:rFonts w:ascii="Arial" w:hAnsi="Arial" w:cs="Arial"/>
          <w:szCs w:val="24"/>
        </w:rPr>
        <w:t xml:space="preserve"> General Schedule (Base) Pa</w:t>
      </w:r>
      <w:r w:rsidRPr="004416EC" w:rsidR="00023C38">
        <w:rPr>
          <w:rFonts w:ascii="Arial" w:hAnsi="Arial" w:cs="Arial"/>
          <w:szCs w:val="24"/>
        </w:rPr>
        <w:t>y (</w:t>
      </w:r>
      <w:hyperlink w:history="1" r:id="rId10">
        <w:r w:rsidRPr="00BE0E1D" w:rsidR="004416EC">
          <w:rPr>
            <w:rStyle w:val="Hyperlink"/>
            <w:rFonts w:ascii="Arial" w:hAnsi="Arial" w:cs="Arial"/>
            <w:szCs w:val="24"/>
          </w:rPr>
          <w:t>https://www.opm.gov/policy-data-oversight/pay-leave/salaries-</w:t>
        </w:r>
        <w:r w:rsidRPr="00BE0E1D" w:rsidR="004416EC">
          <w:rPr>
            <w:rStyle w:val="Hyperlink"/>
            <w:rFonts w:ascii="Arial" w:hAnsi="Arial" w:cs="Arial"/>
            <w:szCs w:val="24"/>
          </w:rPr>
          <w:lastRenderedPageBreak/>
          <w:t>wages/salary-tables/pdf/2020/RUS_h.pdf</w:t>
        </w:r>
      </w:hyperlink>
      <w:r w:rsidR="004416EC">
        <w:rPr>
          <w:rFonts w:ascii="Arial" w:hAnsi="Arial" w:cs="Arial"/>
          <w:szCs w:val="24"/>
        </w:rPr>
        <w:t xml:space="preserve">). </w:t>
      </w:r>
      <w:r w:rsidRPr="004416EC" w:rsidR="00023C38">
        <w:rPr>
          <w:rFonts w:ascii="Arial" w:hAnsi="Arial" w:cs="Arial"/>
          <w:szCs w:val="24"/>
        </w:rPr>
        <w:t xml:space="preserve">This rate does not include any locality adjustment as applicable. </w:t>
      </w:r>
    </w:p>
    <w:p w:rsidRPr="004D49C1" w:rsidR="00023C38" w:rsidP="009C0211" w:rsidRDefault="00023C38" w14:paraId="0C13D679" w14:textId="77777777">
      <w:pPr>
        <w:jc w:val="both"/>
        <w:rPr>
          <w:rFonts w:ascii="Arial" w:hAnsi="Arial" w:cs="Arial"/>
          <w:szCs w:val="24"/>
        </w:rPr>
      </w:pPr>
    </w:p>
    <w:p w:rsidRPr="004D49C1" w:rsidR="009C0211" w:rsidP="009C0211" w:rsidRDefault="009C0211" w14:paraId="25F9EA2B" w14:textId="77777777">
      <w:pPr>
        <w:jc w:val="both"/>
        <w:rPr>
          <w:rFonts w:ascii="Arial" w:hAnsi="Arial" w:cs="Arial"/>
          <w:szCs w:val="24"/>
        </w:rPr>
      </w:pPr>
      <w:r w:rsidRPr="004D49C1">
        <w:rPr>
          <w:rFonts w:ascii="Arial" w:hAnsi="Arial" w:cs="Arial"/>
          <w:szCs w:val="24"/>
        </w:rPr>
        <w:t>The processing time estimates above are based on the actual amount of time employees of each grade level spend to process to completion a claim received on this form.  The within-grade step (3) of each employee represents the average experience of employees within each grade.</w:t>
      </w:r>
    </w:p>
    <w:p w:rsidRPr="004D49C1" w:rsidR="009C0211" w:rsidP="00786FEA" w:rsidRDefault="009C0211" w14:paraId="672D365B" w14:textId="77777777">
      <w:pPr>
        <w:tabs>
          <w:tab w:val="left" w:pos="480"/>
          <w:tab w:val="right" w:pos="8640"/>
        </w:tabs>
        <w:ind w:right="684"/>
        <w:jc w:val="both"/>
        <w:rPr>
          <w:rFonts w:ascii="Arial" w:hAnsi="Arial" w:cs="Arial"/>
          <w:szCs w:val="24"/>
        </w:rPr>
      </w:pPr>
    </w:p>
    <w:p w:rsidRPr="004D49C1" w:rsidR="009C0211" w:rsidP="00786FEA" w:rsidRDefault="009C0211" w14:paraId="4C8B3EA3" w14:textId="77777777">
      <w:pPr>
        <w:tabs>
          <w:tab w:val="left" w:pos="480"/>
          <w:tab w:val="right" w:pos="8640"/>
        </w:tabs>
        <w:ind w:right="684"/>
        <w:jc w:val="both"/>
        <w:rPr>
          <w:rFonts w:ascii="Arial" w:hAnsi="Arial" w:cs="Arial"/>
          <w:szCs w:val="24"/>
        </w:rPr>
      </w:pPr>
    </w:p>
    <w:p w:rsidRPr="004D49C1" w:rsidR="004E3BE8" w:rsidP="00786FEA" w:rsidRDefault="004E3BE8" w14:paraId="22C5185E" w14:textId="77777777">
      <w:pPr>
        <w:pStyle w:val="Heading2"/>
        <w:jc w:val="both"/>
        <w:rPr>
          <w:rFonts w:ascii="Arial" w:hAnsi="Arial" w:cs="Arial"/>
          <w:szCs w:val="24"/>
        </w:rPr>
      </w:pPr>
      <w:r w:rsidRPr="004D49C1">
        <w:rPr>
          <w:rFonts w:ascii="Arial" w:hAnsi="Arial" w:cs="Arial"/>
          <w:szCs w:val="24"/>
        </w:rPr>
        <w:t>15.</w:t>
      </w:r>
      <w:r w:rsidRPr="004D49C1">
        <w:rPr>
          <w:rFonts w:ascii="Arial" w:hAnsi="Arial" w:cs="Arial"/>
          <w:szCs w:val="24"/>
        </w:rPr>
        <w:tab/>
        <w:t>Explain the reason for any burden hour changes since the last submission.</w:t>
      </w:r>
    </w:p>
    <w:p w:rsidRPr="004D49C1" w:rsidR="00974DF6" w:rsidP="003F5CBF" w:rsidRDefault="003F5CBF" w14:paraId="5FAB9371" w14:textId="18A969E7">
      <w:pPr>
        <w:pStyle w:val="ListParagraph"/>
        <w:tabs>
          <w:tab w:val="left" w:pos="480"/>
          <w:tab w:val="right" w:pos="8640"/>
        </w:tabs>
        <w:ind w:left="0" w:right="684"/>
        <w:rPr>
          <w:rFonts w:ascii="Arial" w:hAnsi="Arial" w:cs="Arial"/>
          <w:szCs w:val="24"/>
        </w:rPr>
      </w:pPr>
      <w:r w:rsidRPr="004D49C1">
        <w:rPr>
          <w:rFonts w:ascii="Arial" w:hAnsi="Arial" w:cs="Arial"/>
          <w:szCs w:val="24"/>
        </w:rPr>
        <w:t>There is no change in burden hours.</w:t>
      </w:r>
    </w:p>
    <w:p w:rsidRPr="004D49C1" w:rsidR="00BD08F7" w:rsidP="00786FEA" w:rsidRDefault="00BD08F7" w14:paraId="22EC8EF3" w14:textId="77777777">
      <w:pPr>
        <w:pStyle w:val="Heading2"/>
        <w:jc w:val="both"/>
        <w:rPr>
          <w:rFonts w:ascii="Arial" w:hAnsi="Arial" w:cs="Arial"/>
          <w:b w:val="0"/>
          <w:szCs w:val="24"/>
        </w:rPr>
      </w:pPr>
    </w:p>
    <w:p w:rsidRPr="004D49C1" w:rsidR="004E3BE8" w:rsidP="00786FEA" w:rsidRDefault="004E3BE8" w14:paraId="5AE19958" w14:textId="77777777">
      <w:pPr>
        <w:pStyle w:val="Heading2"/>
        <w:jc w:val="both"/>
        <w:rPr>
          <w:rFonts w:ascii="Arial" w:hAnsi="Arial" w:cs="Arial"/>
          <w:szCs w:val="24"/>
        </w:rPr>
      </w:pPr>
      <w:r w:rsidRPr="004D49C1">
        <w:rPr>
          <w:rFonts w:ascii="Arial" w:hAnsi="Arial" w:cs="Arial"/>
          <w:szCs w:val="24"/>
        </w:rPr>
        <w:t>16.</w:t>
      </w:r>
      <w:r w:rsidRPr="004D49C1">
        <w:rPr>
          <w:rFonts w:ascii="Arial" w:hAnsi="Arial" w:cs="Arial"/>
          <w:szCs w:val="24"/>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Pr="004D49C1" w:rsidR="002F68E9" w:rsidP="00786FEA" w:rsidRDefault="003F5CBF" w14:paraId="0123627B" w14:textId="62A4F870">
      <w:pPr>
        <w:tabs>
          <w:tab w:val="left" w:pos="480"/>
          <w:tab w:val="right" w:pos="8640"/>
        </w:tabs>
        <w:ind w:right="684"/>
        <w:jc w:val="both"/>
        <w:rPr>
          <w:rFonts w:ascii="Arial" w:hAnsi="Arial" w:cs="Arial"/>
          <w:szCs w:val="24"/>
        </w:rPr>
      </w:pPr>
      <w:r w:rsidRPr="004D49C1">
        <w:rPr>
          <w:rFonts w:ascii="Arial" w:hAnsi="Arial" w:cs="Arial"/>
          <w:szCs w:val="24"/>
        </w:rPr>
        <w:t>Information is not for publication purposes.</w:t>
      </w:r>
    </w:p>
    <w:p w:rsidRPr="004D49C1" w:rsidR="003F5CBF" w:rsidP="00786FEA" w:rsidRDefault="003F5CBF" w14:paraId="6DDBCB02" w14:textId="77777777">
      <w:pPr>
        <w:tabs>
          <w:tab w:val="left" w:pos="480"/>
          <w:tab w:val="right" w:pos="8640"/>
        </w:tabs>
        <w:ind w:right="684"/>
        <w:jc w:val="both"/>
        <w:rPr>
          <w:rFonts w:ascii="Arial" w:hAnsi="Arial" w:cs="Arial"/>
          <w:szCs w:val="24"/>
        </w:rPr>
      </w:pPr>
    </w:p>
    <w:p w:rsidRPr="004D49C1" w:rsidR="004E3BE8" w:rsidP="00786FEA" w:rsidRDefault="004E3BE8" w14:paraId="6D7AD43A" w14:textId="77777777">
      <w:pPr>
        <w:pStyle w:val="Heading2"/>
        <w:jc w:val="both"/>
        <w:rPr>
          <w:rFonts w:ascii="Arial" w:hAnsi="Arial" w:cs="Arial"/>
          <w:szCs w:val="24"/>
        </w:rPr>
      </w:pPr>
      <w:r w:rsidRPr="004D49C1">
        <w:rPr>
          <w:rFonts w:ascii="Arial" w:hAnsi="Arial" w:cs="Arial"/>
          <w:szCs w:val="24"/>
        </w:rPr>
        <w:t>17.</w:t>
      </w:r>
      <w:r w:rsidRPr="004D49C1">
        <w:rPr>
          <w:rFonts w:ascii="Arial" w:hAnsi="Arial" w:cs="Arial"/>
          <w:szCs w:val="24"/>
        </w:rPr>
        <w:tab/>
        <w:t>If seeking approval to omit the expiration date</w:t>
      </w:r>
      <w:r w:rsidRPr="004D49C1">
        <w:rPr>
          <w:rFonts w:ascii="Arial" w:hAnsi="Arial" w:cs="Arial"/>
          <w:color w:val="0000FF"/>
          <w:szCs w:val="24"/>
        </w:rPr>
        <w:t xml:space="preserve"> </w:t>
      </w:r>
      <w:r w:rsidRPr="004D49C1">
        <w:rPr>
          <w:rFonts w:ascii="Arial" w:hAnsi="Arial" w:cs="Arial"/>
          <w:szCs w:val="24"/>
        </w:rPr>
        <w:t xml:space="preserve">for OMB approval of the information collection, explain the reasons that display would be inappropriate. </w:t>
      </w:r>
    </w:p>
    <w:p w:rsidRPr="004D49C1" w:rsidR="003F5CBF" w:rsidP="00433665" w:rsidRDefault="00B2606E" w14:paraId="3E28113F" w14:textId="52935CEC">
      <w:pPr>
        <w:pStyle w:val="List2"/>
        <w:ind w:left="0" w:firstLine="0"/>
        <w:rPr>
          <w:rFonts w:ascii="Arial" w:hAnsi="Arial" w:cs="Arial"/>
        </w:rPr>
      </w:pPr>
      <w:r w:rsidRPr="004D49C1">
        <w:rPr>
          <w:rFonts w:ascii="Arial" w:hAnsi="Arial" w:cs="Arial"/>
        </w:rPr>
        <w:t>We are not seeking approval to omit the expiration date for OMB approval.</w:t>
      </w:r>
    </w:p>
    <w:p w:rsidRPr="004D49C1" w:rsidR="00433665" w:rsidP="00433665" w:rsidRDefault="00433665" w14:paraId="7A609BDA" w14:textId="77777777">
      <w:pPr>
        <w:pStyle w:val="List2"/>
        <w:ind w:left="0" w:firstLine="0"/>
        <w:rPr>
          <w:rFonts w:ascii="Arial" w:hAnsi="Arial" w:cs="Arial"/>
        </w:rPr>
      </w:pPr>
    </w:p>
    <w:p w:rsidRPr="004D49C1" w:rsidR="002F68E9" w:rsidP="00433665" w:rsidRDefault="004E3BE8" w14:paraId="25F2CCC3" w14:textId="21FEF676">
      <w:pPr>
        <w:pStyle w:val="Heading2"/>
        <w:rPr>
          <w:rFonts w:ascii="Arial" w:hAnsi="Arial" w:cs="Arial"/>
          <w:szCs w:val="24"/>
        </w:rPr>
      </w:pPr>
      <w:r w:rsidRPr="004D49C1">
        <w:rPr>
          <w:rFonts w:ascii="Arial" w:hAnsi="Arial" w:cs="Arial"/>
          <w:szCs w:val="24"/>
        </w:rPr>
        <w:t>18.</w:t>
      </w:r>
      <w:r w:rsidRPr="004D49C1">
        <w:rPr>
          <w:rFonts w:ascii="Arial" w:hAnsi="Arial" w:cs="Arial"/>
          <w:szCs w:val="24"/>
        </w:rPr>
        <w:tab/>
        <w:t>Explain each exception to the certification s</w:t>
      </w:r>
      <w:r w:rsidRPr="004D49C1" w:rsidR="003A4449">
        <w:rPr>
          <w:rFonts w:ascii="Arial" w:hAnsi="Arial" w:cs="Arial"/>
          <w:szCs w:val="24"/>
        </w:rPr>
        <w:t xml:space="preserve">tatement identified in Item 19, </w:t>
      </w:r>
      <w:r w:rsidRPr="004D49C1">
        <w:rPr>
          <w:rFonts w:ascii="Arial" w:hAnsi="Arial" w:cs="Arial"/>
          <w:szCs w:val="24"/>
        </w:rPr>
        <w:t>“Certification for Paperw</w:t>
      </w:r>
      <w:r w:rsidRPr="004D49C1" w:rsidR="003A4449">
        <w:rPr>
          <w:rFonts w:ascii="Arial" w:hAnsi="Arial" w:cs="Arial"/>
          <w:szCs w:val="24"/>
        </w:rPr>
        <w:t xml:space="preserve">ork Reduction Act Submissions,” </w:t>
      </w:r>
      <w:r w:rsidRPr="004D49C1">
        <w:rPr>
          <w:rFonts w:ascii="Arial" w:hAnsi="Arial" w:cs="Arial"/>
          <w:szCs w:val="24"/>
        </w:rPr>
        <w:t>of OMB 83-I.</w:t>
      </w:r>
    </w:p>
    <w:p w:rsidRPr="004D49C1" w:rsidR="00B2606E" w:rsidP="00B2606E" w:rsidRDefault="00B2606E" w14:paraId="6CF73089" w14:textId="77777777">
      <w:pPr>
        <w:autoSpaceDE w:val="0"/>
        <w:autoSpaceDN w:val="0"/>
        <w:adjustRightInd w:val="0"/>
        <w:jc w:val="both"/>
        <w:rPr>
          <w:rFonts w:ascii="Arial" w:hAnsi="Arial" w:cs="Arial"/>
          <w:szCs w:val="24"/>
        </w:rPr>
      </w:pPr>
      <w:r w:rsidRPr="004D49C1">
        <w:rPr>
          <w:rFonts w:ascii="Arial" w:hAnsi="Arial" w:cs="Arial"/>
          <w:szCs w:val="24"/>
        </w:rPr>
        <w:t>This submission does not contain any exceptions to the certification statement.</w:t>
      </w:r>
    </w:p>
    <w:p w:rsidRPr="004D49C1" w:rsidR="00B2606E" w:rsidP="00B2606E" w:rsidRDefault="00B2606E" w14:paraId="620DED55" w14:textId="77777777">
      <w:pPr>
        <w:autoSpaceDE w:val="0"/>
        <w:autoSpaceDN w:val="0"/>
        <w:adjustRightInd w:val="0"/>
        <w:jc w:val="both"/>
        <w:rPr>
          <w:rFonts w:ascii="Arial" w:hAnsi="Arial" w:cs="Arial"/>
          <w:szCs w:val="24"/>
        </w:rPr>
      </w:pPr>
    </w:p>
    <w:p w:rsidRPr="004D49C1" w:rsidR="00023C38" w:rsidP="00B2606E" w:rsidRDefault="00B2606E" w14:paraId="78428564" w14:textId="77777777">
      <w:pPr>
        <w:autoSpaceDE w:val="0"/>
        <w:autoSpaceDN w:val="0"/>
        <w:adjustRightInd w:val="0"/>
        <w:jc w:val="both"/>
        <w:rPr>
          <w:rFonts w:ascii="Arial" w:hAnsi="Arial" w:cs="Arial"/>
          <w:szCs w:val="24"/>
        </w:rPr>
      </w:pPr>
      <w:r w:rsidRPr="004D49C1">
        <w:rPr>
          <w:rFonts w:ascii="Arial" w:hAnsi="Arial" w:cs="Arial"/>
          <w:szCs w:val="24"/>
        </w:rPr>
        <w:t xml:space="preserve">B.  </w:t>
      </w:r>
      <w:r w:rsidRPr="004D49C1">
        <w:rPr>
          <w:rFonts w:ascii="Arial" w:hAnsi="Arial" w:cs="Arial"/>
          <w:szCs w:val="24"/>
          <w:u w:val="single"/>
        </w:rPr>
        <w:t>Collection of Information Employing Statistical Methods</w:t>
      </w:r>
    </w:p>
    <w:p w:rsidRPr="004D49C1" w:rsidR="00023C38" w:rsidP="00023C38" w:rsidRDefault="00023C38" w14:paraId="5EA67195" w14:textId="77777777">
      <w:pPr>
        <w:autoSpaceDE w:val="0"/>
        <w:autoSpaceDN w:val="0"/>
        <w:adjustRightInd w:val="0"/>
        <w:jc w:val="both"/>
        <w:rPr>
          <w:rFonts w:ascii="Arial" w:hAnsi="Arial" w:cs="Arial"/>
          <w:szCs w:val="24"/>
        </w:rPr>
      </w:pPr>
    </w:p>
    <w:p w:rsidRPr="004D49C1" w:rsidR="00B2606E" w:rsidP="00023C38" w:rsidRDefault="00023C38" w14:paraId="525A888F" w14:textId="39917936">
      <w:pPr>
        <w:autoSpaceDE w:val="0"/>
        <w:autoSpaceDN w:val="0"/>
        <w:adjustRightInd w:val="0"/>
        <w:jc w:val="both"/>
        <w:rPr>
          <w:rFonts w:ascii="Arial" w:hAnsi="Arial" w:cs="Arial"/>
          <w:szCs w:val="24"/>
        </w:rPr>
      </w:pPr>
      <w:r w:rsidRPr="004D49C1">
        <w:rPr>
          <w:rFonts w:ascii="Arial" w:hAnsi="Arial" w:cs="Arial"/>
          <w:szCs w:val="24"/>
        </w:rPr>
        <w:t xml:space="preserve">1.      </w:t>
      </w:r>
      <w:r w:rsidRPr="004D49C1" w:rsidR="00B2606E">
        <w:rPr>
          <w:rFonts w:ascii="Arial" w:hAnsi="Arial" w:cs="Arial"/>
          <w:szCs w:val="24"/>
        </w:rPr>
        <w:t xml:space="preserve">The data collection does not employ statistical methods.  </w:t>
      </w:r>
    </w:p>
    <w:p w:rsidRPr="004D49C1" w:rsidR="002F68E9" w:rsidP="00786FEA" w:rsidRDefault="002F68E9" w14:paraId="6735FB50" w14:textId="3764F9ED">
      <w:pPr>
        <w:autoSpaceDE w:val="0"/>
        <w:autoSpaceDN w:val="0"/>
        <w:adjustRightInd w:val="0"/>
        <w:jc w:val="both"/>
        <w:rPr>
          <w:rFonts w:ascii="Arial" w:hAnsi="Arial" w:cs="Arial"/>
          <w:szCs w:val="24"/>
        </w:rPr>
      </w:pPr>
    </w:p>
    <w:p w:rsidRPr="004D49C1" w:rsidR="002F68E9" w:rsidRDefault="002F68E9" w14:paraId="1CF71FD4" w14:textId="77777777">
      <w:pPr>
        <w:tabs>
          <w:tab w:val="left" w:pos="480"/>
          <w:tab w:val="right" w:pos="8640"/>
        </w:tabs>
        <w:ind w:right="684"/>
        <w:rPr>
          <w:rFonts w:ascii="Arial" w:hAnsi="Arial" w:cs="Arial"/>
          <w:szCs w:val="24"/>
        </w:rPr>
      </w:pPr>
    </w:p>
    <w:sectPr w:rsidRPr="004D49C1" w:rsidR="002F68E9" w:rsidSect="00E118CB">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D72D8A" w14:textId="77777777" w:rsidR="00666CAA" w:rsidRDefault="00666CAA" w:rsidP="00A23DF4">
      <w:r>
        <w:separator/>
      </w:r>
    </w:p>
  </w:endnote>
  <w:endnote w:type="continuationSeparator" w:id="0">
    <w:p w14:paraId="5EDC9D00" w14:textId="77777777" w:rsidR="00666CAA" w:rsidRDefault="00666CAA" w:rsidP="00A23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2824231"/>
      <w:docPartObj>
        <w:docPartGallery w:val="Page Numbers (Bottom of Page)"/>
        <w:docPartUnique/>
      </w:docPartObj>
    </w:sdtPr>
    <w:sdtEndPr>
      <w:rPr>
        <w:noProof/>
        <w:sz w:val="16"/>
        <w:szCs w:val="16"/>
      </w:rPr>
    </w:sdtEndPr>
    <w:sdtContent>
      <w:p w14:paraId="68DA5432" w14:textId="2B1848AD" w:rsidR="00F85A8B" w:rsidRPr="00F85A8B" w:rsidRDefault="00F85A8B">
        <w:pPr>
          <w:pStyle w:val="Footer"/>
          <w:jc w:val="right"/>
          <w:rPr>
            <w:sz w:val="16"/>
            <w:szCs w:val="16"/>
          </w:rPr>
        </w:pPr>
        <w:r w:rsidRPr="00F85A8B">
          <w:rPr>
            <w:sz w:val="16"/>
            <w:szCs w:val="16"/>
          </w:rPr>
          <w:fldChar w:fldCharType="begin"/>
        </w:r>
        <w:r w:rsidRPr="00F85A8B">
          <w:rPr>
            <w:sz w:val="16"/>
            <w:szCs w:val="16"/>
          </w:rPr>
          <w:instrText xml:space="preserve"> PAGE   \* MERGEFORMAT </w:instrText>
        </w:r>
        <w:r w:rsidRPr="00F85A8B">
          <w:rPr>
            <w:sz w:val="16"/>
            <w:szCs w:val="16"/>
          </w:rPr>
          <w:fldChar w:fldCharType="separate"/>
        </w:r>
        <w:r w:rsidR="001D0228">
          <w:rPr>
            <w:noProof/>
            <w:sz w:val="16"/>
            <w:szCs w:val="16"/>
          </w:rPr>
          <w:t>1</w:t>
        </w:r>
        <w:r w:rsidRPr="00F85A8B">
          <w:rPr>
            <w:noProof/>
            <w:sz w:val="16"/>
            <w:szCs w:val="16"/>
          </w:rPr>
          <w:fldChar w:fldCharType="end"/>
        </w:r>
      </w:p>
    </w:sdtContent>
  </w:sdt>
  <w:p w14:paraId="344EBFF8" w14:textId="77777777" w:rsidR="00F85A8B" w:rsidRDefault="00F85A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1CBA4" w14:textId="77777777" w:rsidR="00666CAA" w:rsidRDefault="00666CAA" w:rsidP="00A23DF4">
      <w:r>
        <w:separator/>
      </w:r>
    </w:p>
  </w:footnote>
  <w:footnote w:type="continuationSeparator" w:id="0">
    <w:p w14:paraId="014A4DF1" w14:textId="77777777" w:rsidR="00666CAA" w:rsidRDefault="00666CAA" w:rsidP="00A23D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E5517"/>
    <w:multiLevelType w:val="hybridMultilevel"/>
    <w:tmpl w:val="72DCD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459FA"/>
    <w:multiLevelType w:val="hybridMultilevel"/>
    <w:tmpl w:val="61348C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07BFA"/>
    <w:multiLevelType w:val="singleLevel"/>
    <w:tmpl w:val="0B2CE188"/>
    <w:lvl w:ilvl="0">
      <w:start w:val="15"/>
      <w:numFmt w:val="decimal"/>
      <w:lvlText w:val="%1."/>
      <w:lvlJc w:val="left"/>
      <w:pPr>
        <w:tabs>
          <w:tab w:val="num" w:pos="420"/>
        </w:tabs>
        <w:ind w:left="420" w:hanging="420"/>
      </w:pPr>
      <w:rPr>
        <w:rFonts w:hint="default"/>
      </w:rPr>
    </w:lvl>
  </w:abstractNum>
  <w:abstractNum w:abstractNumId="3" w15:restartNumberingAfterBreak="0">
    <w:nsid w:val="203B3B08"/>
    <w:multiLevelType w:val="hybridMultilevel"/>
    <w:tmpl w:val="FCD668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7E52F5B"/>
    <w:multiLevelType w:val="hybridMultilevel"/>
    <w:tmpl w:val="B1D48B86"/>
    <w:lvl w:ilvl="0" w:tplc="0409000F">
      <w:start w:val="1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A525729"/>
    <w:multiLevelType w:val="hybridMultilevel"/>
    <w:tmpl w:val="63E01852"/>
    <w:lvl w:ilvl="0" w:tplc="41D26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42C4B86"/>
    <w:multiLevelType w:val="hybridMultilevel"/>
    <w:tmpl w:val="310C0278"/>
    <w:lvl w:ilvl="0" w:tplc="F5CE70B4">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4E567C0"/>
    <w:multiLevelType w:val="hybridMultilevel"/>
    <w:tmpl w:val="03BE0A6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AB0DED"/>
    <w:multiLevelType w:val="singleLevel"/>
    <w:tmpl w:val="0409000F"/>
    <w:lvl w:ilvl="0">
      <w:start w:val="6"/>
      <w:numFmt w:val="decimal"/>
      <w:lvlText w:val="%1."/>
      <w:lvlJc w:val="left"/>
      <w:pPr>
        <w:tabs>
          <w:tab w:val="num" w:pos="360"/>
        </w:tabs>
        <w:ind w:left="360" w:hanging="360"/>
      </w:pPr>
      <w:rPr>
        <w:rFonts w:hint="default"/>
      </w:rPr>
    </w:lvl>
  </w:abstractNum>
  <w:abstractNum w:abstractNumId="9" w15:restartNumberingAfterBreak="0">
    <w:nsid w:val="3EA75094"/>
    <w:multiLevelType w:val="hybridMultilevel"/>
    <w:tmpl w:val="EC9E0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9260E8"/>
    <w:multiLevelType w:val="hybridMultilevel"/>
    <w:tmpl w:val="7DCA2954"/>
    <w:lvl w:ilvl="0" w:tplc="04090019">
      <w:start w:val="1"/>
      <w:numFmt w:val="lowerLetter"/>
      <w:lvlText w:val="%1."/>
      <w:lvlJc w:val="left"/>
      <w:pPr>
        <w:ind w:left="720" w:hanging="360"/>
      </w:pPr>
    </w:lvl>
    <w:lvl w:ilvl="1" w:tplc="04090019">
      <w:start w:val="1"/>
      <w:numFmt w:val="lowerLetter"/>
      <w:lvlText w:val="%2."/>
      <w:lvlJc w:val="left"/>
      <w:pPr>
        <w:ind w:left="990" w:hanging="360"/>
      </w:pPr>
    </w:lvl>
    <w:lvl w:ilvl="2" w:tplc="0409001B">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1" w15:restartNumberingAfterBreak="0">
    <w:nsid w:val="534C558B"/>
    <w:multiLevelType w:val="hybridMultilevel"/>
    <w:tmpl w:val="2B826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C87581"/>
    <w:multiLevelType w:val="singleLevel"/>
    <w:tmpl w:val="67105F10"/>
    <w:lvl w:ilvl="0">
      <w:start w:val="1"/>
      <w:numFmt w:val="decimal"/>
      <w:lvlText w:val="%1."/>
      <w:lvlJc w:val="left"/>
      <w:pPr>
        <w:tabs>
          <w:tab w:val="num" w:pos="405"/>
        </w:tabs>
        <w:ind w:left="405" w:hanging="405"/>
      </w:pPr>
      <w:rPr>
        <w:rFonts w:hint="default"/>
      </w:rPr>
    </w:lvl>
  </w:abstractNum>
  <w:abstractNum w:abstractNumId="13" w15:restartNumberingAfterBreak="0">
    <w:nsid w:val="587549A6"/>
    <w:multiLevelType w:val="hybridMultilevel"/>
    <w:tmpl w:val="45C28184"/>
    <w:lvl w:ilvl="0" w:tplc="04090019">
      <w:start w:val="2"/>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4" w15:restartNumberingAfterBreak="0">
    <w:nsid w:val="58A85EEA"/>
    <w:multiLevelType w:val="hybridMultilevel"/>
    <w:tmpl w:val="EFAE699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5F4190"/>
    <w:multiLevelType w:val="hybridMultilevel"/>
    <w:tmpl w:val="0EA4F3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94213C"/>
    <w:multiLevelType w:val="hybridMultilevel"/>
    <w:tmpl w:val="7D2C684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
  </w:num>
  <w:num w:numId="3">
    <w:abstractNumId w:val="8"/>
  </w:num>
  <w:num w:numId="4">
    <w:abstractNumId w:val="9"/>
  </w:num>
  <w:num w:numId="5">
    <w:abstractNumId w:val="11"/>
  </w:num>
  <w:num w:numId="6">
    <w:abstractNumId w:val="10"/>
  </w:num>
  <w:num w:numId="7">
    <w:abstractNumId w:val="15"/>
  </w:num>
  <w:num w:numId="8">
    <w:abstractNumId w:val="5"/>
  </w:num>
  <w:num w:numId="9">
    <w:abstractNumId w:val="14"/>
  </w:num>
  <w:num w:numId="10">
    <w:abstractNumId w:val="16"/>
  </w:num>
  <w:num w:numId="11">
    <w:abstractNumId w:val="1"/>
  </w:num>
  <w:num w:numId="12">
    <w:abstractNumId w:val="3"/>
  </w:num>
  <w:num w:numId="13">
    <w:abstractNumId w:val="6"/>
  </w:num>
  <w:num w:numId="14">
    <w:abstractNumId w:val="7"/>
  </w:num>
  <w:num w:numId="15">
    <w:abstractNumId w:val="4"/>
  </w:num>
  <w:num w:numId="16">
    <w:abstractNumId w:val="0"/>
  </w:num>
  <w:num w:numId="17">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8CB"/>
    <w:rsid w:val="00023C38"/>
    <w:rsid w:val="000635D2"/>
    <w:rsid w:val="000747F0"/>
    <w:rsid w:val="000A3F7A"/>
    <w:rsid w:val="000B2228"/>
    <w:rsid w:val="000B2D1C"/>
    <w:rsid w:val="00143842"/>
    <w:rsid w:val="001971A7"/>
    <w:rsid w:val="001D0228"/>
    <w:rsid w:val="001D7582"/>
    <w:rsid w:val="002111E4"/>
    <w:rsid w:val="0023216F"/>
    <w:rsid w:val="00271073"/>
    <w:rsid w:val="002824F1"/>
    <w:rsid w:val="002C4A66"/>
    <w:rsid w:val="002E18FE"/>
    <w:rsid w:val="002E5D76"/>
    <w:rsid w:val="002F68E9"/>
    <w:rsid w:val="0035205C"/>
    <w:rsid w:val="00357723"/>
    <w:rsid w:val="00384766"/>
    <w:rsid w:val="00392E7A"/>
    <w:rsid w:val="003A4449"/>
    <w:rsid w:val="003A6529"/>
    <w:rsid w:val="003F5CBF"/>
    <w:rsid w:val="004056FE"/>
    <w:rsid w:val="00412ECD"/>
    <w:rsid w:val="00433665"/>
    <w:rsid w:val="004416EC"/>
    <w:rsid w:val="0045743D"/>
    <w:rsid w:val="004A4A83"/>
    <w:rsid w:val="004D49C1"/>
    <w:rsid w:val="004E3BE8"/>
    <w:rsid w:val="0057572F"/>
    <w:rsid w:val="00575FC2"/>
    <w:rsid w:val="005B0B02"/>
    <w:rsid w:val="005B0E7E"/>
    <w:rsid w:val="00666CAA"/>
    <w:rsid w:val="006A77A0"/>
    <w:rsid w:val="006C1BC4"/>
    <w:rsid w:val="00706DD3"/>
    <w:rsid w:val="007372D0"/>
    <w:rsid w:val="00750AE7"/>
    <w:rsid w:val="00786FEA"/>
    <w:rsid w:val="007C4FB7"/>
    <w:rsid w:val="007C6E0D"/>
    <w:rsid w:val="0085512D"/>
    <w:rsid w:val="00872119"/>
    <w:rsid w:val="008774D0"/>
    <w:rsid w:val="008E7BB7"/>
    <w:rsid w:val="00930F4A"/>
    <w:rsid w:val="0094168D"/>
    <w:rsid w:val="00960C51"/>
    <w:rsid w:val="00974DF6"/>
    <w:rsid w:val="009C0211"/>
    <w:rsid w:val="00A23DF4"/>
    <w:rsid w:val="00A25B55"/>
    <w:rsid w:val="00A3006E"/>
    <w:rsid w:val="00A478FF"/>
    <w:rsid w:val="00A62221"/>
    <w:rsid w:val="00A840D4"/>
    <w:rsid w:val="00A91EA6"/>
    <w:rsid w:val="00A92A26"/>
    <w:rsid w:val="00AB5420"/>
    <w:rsid w:val="00AC22D7"/>
    <w:rsid w:val="00B16789"/>
    <w:rsid w:val="00B2507D"/>
    <w:rsid w:val="00B2606E"/>
    <w:rsid w:val="00B34B32"/>
    <w:rsid w:val="00BA415B"/>
    <w:rsid w:val="00BB3630"/>
    <w:rsid w:val="00BD08F7"/>
    <w:rsid w:val="00C437E1"/>
    <w:rsid w:val="00C6381F"/>
    <w:rsid w:val="00C87ADD"/>
    <w:rsid w:val="00C91FBB"/>
    <w:rsid w:val="00CC191B"/>
    <w:rsid w:val="00CC27D5"/>
    <w:rsid w:val="00CD2798"/>
    <w:rsid w:val="00CD4667"/>
    <w:rsid w:val="00CE0610"/>
    <w:rsid w:val="00D3124B"/>
    <w:rsid w:val="00D34111"/>
    <w:rsid w:val="00DC59FF"/>
    <w:rsid w:val="00DD2ABF"/>
    <w:rsid w:val="00DD552B"/>
    <w:rsid w:val="00E118CB"/>
    <w:rsid w:val="00E3711C"/>
    <w:rsid w:val="00E67D96"/>
    <w:rsid w:val="00EB7A81"/>
    <w:rsid w:val="00F37A74"/>
    <w:rsid w:val="00F66C95"/>
    <w:rsid w:val="00F85A8B"/>
    <w:rsid w:val="00FC15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A7D86A"/>
  <w15:docId w15:val="{01E8AA11-1533-4ADE-90F1-4136A1CB7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W1)" w:eastAsia="Times New Roman" w:hAnsi="Times New (W1)"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1073"/>
    <w:rPr>
      <w:rFonts w:ascii="Times New Roman" w:hAnsi="Times New Roman"/>
      <w:sz w:val="24"/>
    </w:rPr>
  </w:style>
  <w:style w:type="paragraph" w:styleId="Heading2">
    <w:name w:val="heading 2"/>
    <w:basedOn w:val="Normal"/>
    <w:next w:val="Normal"/>
    <w:link w:val="Heading2Char"/>
    <w:qFormat/>
    <w:rsid w:val="00A23DF4"/>
    <w:pPr>
      <w:keepNext/>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spacing w:after="24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snapToGrid w:val="0"/>
    </w:rPr>
  </w:style>
  <w:style w:type="character" w:styleId="Strong">
    <w:name w:val="Strong"/>
    <w:basedOn w:val="DefaultParagraphFont"/>
    <w:qFormat/>
    <w:rPr>
      <w:b/>
    </w:rPr>
  </w:style>
  <w:style w:type="paragraph" w:styleId="BodyText">
    <w:name w:val="Body Text"/>
    <w:basedOn w:val="Normal"/>
  </w:style>
  <w:style w:type="paragraph" w:styleId="BodyText2">
    <w:name w:val="Body Text 2"/>
    <w:basedOn w:val="Normal"/>
    <w:pPr>
      <w:tabs>
        <w:tab w:val="left" w:pos="480"/>
        <w:tab w:val="right" w:pos="8640"/>
      </w:tabs>
      <w:ind w:right="684"/>
    </w:pPr>
    <w:rPr>
      <w:rFonts w:ascii="Arial" w:hAnsi="Arial"/>
    </w:rPr>
  </w:style>
  <w:style w:type="paragraph" w:customStyle="1" w:styleId="labeltext-2">
    <w:name w:val="labeltext-2"/>
    <w:basedOn w:val="Normal"/>
    <w:pPr>
      <w:spacing w:before="100" w:beforeAutospacing="1" w:after="100" w:afterAutospacing="1"/>
      <w:ind w:left="1224" w:firstLine="480"/>
    </w:pPr>
  </w:style>
  <w:style w:type="paragraph" w:customStyle="1" w:styleId="catchline">
    <w:name w:val="catchline"/>
    <w:basedOn w:val="Normal"/>
    <w:pPr>
      <w:spacing w:before="100" w:beforeAutospacing="1" w:after="100" w:afterAutospacing="1"/>
    </w:pPr>
    <w:rPr>
      <w:b/>
      <w:bCs/>
      <w:szCs w:val="24"/>
    </w:rPr>
  </w:style>
  <w:style w:type="paragraph" w:customStyle="1" w:styleId="labelleader-nohead-1">
    <w:name w:val="labelleader-nohead-1"/>
    <w:basedOn w:val="Normal"/>
    <w:pPr>
      <w:spacing w:before="100" w:beforeAutospacing="1"/>
    </w:pPr>
  </w:style>
  <w:style w:type="paragraph" w:customStyle="1" w:styleId="labeltext-1">
    <w:name w:val="labeltext-1"/>
    <w:basedOn w:val="Normal"/>
    <w:pPr>
      <w:spacing w:before="100" w:beforeAutospacing="1" w:after="100" w:afterAutospacing="1"/>
      <w:ind w:left="612" w:firstLine="480"/>
    </w:pPr>
  </w:style>
  <w:style w:type="paragraph" w:customStyle="1" w:styleId="labelleader-nohead-2">
    <w:name w:val="labelleader-nohead-2"/>
    <w:basedOn w:val="Normal"/>
    <w:pPr>
      <w:spacing w:before="100" w:beforeAutospacing="1"/>
      <w:ind w:left="612"/>
    </w:pPr>
  </w:style>
  <w:style w:type="paragraph" w:customStyle="1" w:styleId="labelleader-nohead-3">
    <w:name w:val="labelleader-nohead-3"/>
    <w:basedOn w:val="Normal"/>
    <w:pPr>
      <w:spacing w:before="100" w:beforeAutospacing="1"/>
      <w:ind w:left="1224"/>
    </w:pPr>
  </w:style>
  <w:style w:type="paragraph" w:customStyle="1" w:styleId="labeltext-3">
    <w:name w:val="labeltext-3"/>
    <w:basedOn w:val="Normal"/>
    <w:pPr>
      <w:spacing w:before="100" w:beforeAutospacing="1" w:after="100" w:afterAutospacing="1"/>
      <w:ind w:left="1836" w:firstLine="480"/>
    </w:pPr>
  </w:style>
  <w:style w:type="character" w:customStyle="1" w:styleId="backtrail">
    <w:name w:val="backtrail"/>
    <w:basedOn w:val="DefaultParagraphFont"/>
    <w:rPr>
      <w:b/>
      <w:bCs/>
      <w:sz w:val="20"/>
      <w:szCs w:val="20"/>
    </w:rPr>
  </w:style>
  <w:style w:type="character" w:customStyle="1" w:styleId="label-1">
    <w:name w:val="label-1"/>
    <w:basedOn w:val="DefaultParagraphFont"/>
    <w:rPr>
      <w:b/>
      <w:bCs/>
      <w:sz w:val="20"/>
      <w:szCs w:val="20"/>
    </w:rPr>
  </w:style>
  <w:style w:type="character" w:customStyle="1" w:styleId="label-2">
    <w:name w:val="label-2"/>
    <w:basedOn w:val="DefaultParagraphFont"/>
    <w:rPr>
      <w:b/>
      <w:bCs/>
      <w:w w:val="0"/>
      <w:sz w:val="20"/>
      <w:szCs w:val="20"/>
    </w:rPr>
  </w:style>
  <w:style w:type="character" w:customStyle="1" w:styleId="label-3">
    <w:name w:val="label-3"/>
    <w:basedOn w:val="DefaultParagraphFont"/>
    <w:rPr>
      <w:b/>
      <w:bCs/>
      <w:sz w:val="20"/>
      <w:szCs w:val="20"/>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Courier New" w:cs="Courier New"/>
    </w:rPr>
  </w:style>
  <w:style w:type="table" w:styleId="TableGrid">
    <w:name w:val="Table Grid"/>
    <w:basedOn w:val="TableNormal"/>
    <w:rsid w:val="00960C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0C51"/>
    <w:pPr>
      <w:ind w:left="720"/>
      <w:contextualSpacing/>
    </w:pPr>
  </w:style>
  <w:style w:type="paragraph" w:styleId="Header">
    <w:name w:val="header"/>
    <w:basedOn w:val="Normal"/>
    <w:link w:val="HeaderChar"/>
    <w:rsid w:val="00A23DF4"/>
    <w:pPr>
      <w:tabs>
        <w:tab w:val="center" w:pos="4680"/>
        <w:tab w:val="right" w:pos="9360"/>
      </w:tabs>
    </w:pPr>
  </w:style>
  <w:style w:type="character" w:customStyle="1" w:styleId="HeaderChar">
    <w:name w:val="Header Char"/>
    <w:basedOn w:val="DefaultParagraphFont"/>
    <w:link w:val="Header"/>
    <w:rsid w:val="00A23DF4"/>
    <w:rPr>
      <w:rFonts w:ascii="Times New Roman" w:hAnsi="Times New Roman"/>
      <w:sz w:val="24"/>
    </w:rPr>
  </w:style>
  <w:style w:type="paragraph" w:styleId="Footer">
    <w:name w:val="footer"/>
    <w:basedOn w:val="Normal"/>
    <w:link w:val="FooterChar"/>
    <w:uiPriority w:val="99"/>
    <w:rsid w:val="00A23DF4"/>
    <w:pPr>
      <w:tabs>
        <w:tab w:val="center" w:pos="4680"/>
        <w:tab w:val="right" w:pos="9360"/>
      </w:tabs>
    </w:pPr>
  </w:style>
  <w:style w:type="character" w:customStyle="1" w:styleId="FooterChar">
    <w:name w:val="Footer Char"/>
    <w:basedOn w:val="DefaultParagraphFont"/>
    <w:link w:val="Footer"/>
    <w:uiPriority w:val="99"/>
    <w:rsid w:val="00A23DF4"/>
    <w:rPr>
      <w:rFonts w:ascii="Times New Roman" w:hAnsi="Times New Roman"/>
      <w:sz w:val="24"/>
    </w:rPr>
  </w:style>
  <w:style w:type="character" w:customStyle="1" w:styleId="Heading2Char">
    <w:name w:val="Heading 2 Char"/>
    <w:basedOn w:val="DefaultParagraphFont"/>
    <w:link w:val="Heading2"/>
    <w:rsid w:val="00A23DF4"/>
    <w:rPr>
      <w:rFonts w:ascii="Times New Roman" w:hAnsi="Times New Roman"/>
      <w:b/>
      <w:sz w:val="24"/>
    </w:rPr>
  </w:style>
  <w:style w:type="paragraph" w:styleId="NoSpacing">
    <w:name w:val="No Spacing"/>
    <w:uiPriority w:val="1"/>
    <w:qFormat/>
    <w:rsid w:val="00A23DF4"/>
    <w:rPr>
      <w:rFonts w:ascii="Times New Roman" w:hAnsi="Times New Roman"/>
      <w:sz w:val="24"/>
    </w:rPr>
  </w:style>
  <w:style w:type="character" w:styleId="CommentReference">
    <w:name w:val="annotation reference"/>
    <w:basedOn w:val="DefaultParagraphFont"/>
    <w:rsid w:val="00B2507D"/>
    <w:rPr>
      <w:sz w:val="16"/>
      <w:szCs w:val="16"/>
    </w:rPr>
  </w:style>
  <w:style w:type="paragraph" w:styleId="CommentText">
    <w:name w:val="annotation text"/>
    <w:basedOn w:val="Normal"/>
    <w:link w:val="CommentTextChar"/>
    <w:rsid w:val="00B2507D"/>
    <w:rPr>
      <w:sz w:val="20"/>
    </w:rPr>
  </w:style>
  <w:style w:type="character" w:customStyle="1" w:styleId="CommentTextChar">
    <w:name w:val="Comment Text Char"/>
    <w:basedOn w:val="DefaultParagraphFont"/>
    <w:link w:val="CommentText"/>
    <w:rsid w:val="00B2507D"/>
    <w:rPr>
      <w:rFonts w:ascii="Times New Roman" w:hAnsi="Times New Roman"/>
    </w:rPr>
  </w:style>
  <w:style w:type="paragraph" w:styleId="CommentSubject">
    <w:name w:val="annotation subject"/>
    <w:basedOn w:val="CommentText"/>
    <w:next w:val="CommentText"/>
    <w:link w:val="CommentSubjectChar"/>
    <w:rsid w:val="00B2507D"/>
    <w:rPr>
      <w:b/>
      <w:bCs/>
    </w:rPr>
  </w:style>
  <w:style w:type="character" w:customStyle="1" w:styleId="CommentSubjectChar">
    <w:name w:val="Comment Subject Char"/>
    <w:basedOn w:val="CommentTextChar"/>
    <w:link w:val="CommentSubject"/>
    <w:rsid w:val="00B2507D"/>
    <w:rPr>
      <w:rFonts w:ascii="Times New Roman" w:hAnsi="Times New Roman"/>
      <w:b/>
      <w:bCs/>
    </w:rPr>
  </w:style>
  <w:style w:type="paragraph" w:styleId="BalloonText">
    <w:name w:val="Balloon Text"/>
    <w:basedOn w:val="Normal"/>
    <w:link w:val="BalloonTextChar"/>
    <w:rsid w:val="00B2507D"/>
    <w:rPr>
      <w:rFonts w:ascii="Tahoma" w:hAnsi="Tahoma" w:cs="Tahoma"/>
      <w:sz w:val="16"/>
      <w:szCs w:val="16"/>
    </w:rPr>
  </w:style>
  <w:style w:type="character" w:customStyle="1" w:styleId="BalloonTextChar">
    <w:name w:val="Balloon Text Char"/>
    <w:basedOn w:val="DefaultParagraphFont"/>
    <w:link w:val="BalloonText"/>
    <w:rsid w:val="00B2507D"/>
    <w:rPr>
      <w:rFonts w:ascii="Tahoma" w:hAnsi="Tahoma" w:cs="Tahoma"/>
      <w:sz w:val="16"/>
      <w:szCs w:val="16"/>
    </w:rPr>
  </w:style>
  <w:style w:type="paragraph" w:styleId="List2">
    <w:name w:val="List 2"/>
    <w:basedOn w:val="Normal"/>
    <w:rsid w:val="003F5CBF"/>
    <w:pPr>
      <w:ind w:left="720" w:hanging="360"/>
    </w:pPr>
    <w:rPr>
      <w:szCs w:val="24"/>
    </w:rPr>
  </w:style>
  <w:style w:type="paragraph" w:styleId="BodyTextIndent2">
    <w:name w:val="Body Text Indent 2"/>
    <w:basedOn w:val="Normal"/>
    <w:link w:val="BodyTextIndent2Char"/>
    <w:rsid w:val="00023C38"/>
    <w:pPr>
      <w:spacing w:after="120" w:line="480" w:lineRule="auto"/>
      <w:ind w:left="360"/>
    </w:pPr>
  </w:style>
  <w:style w:type="character" w:customStyle="1" w:styleId="BodyTextIndent2Char">
    <w:name w:val="Body Text Indent 2 Char"/>
    <w:basedOn w:val="DefaultParagraphFont"/>
    <w:link w:val="BodyTextIndent2"/>
    <w:rsid w:val="00023C38"/>
    <w:rPr>
      <w:rFonts w:ascii="Times New Roman" w:hAnsi="Times New Roman"/>
      <w:sz w:val="24"/>
    </w:rPr>
  </w:style>
  <w:style w:type="character" w:styleId="UnresolvedMention">
    <w:name w:val="Unresolved Mention"/>
    <w:basedOn w:val="DefaultParagraphFont"/>
    <w:uiPriority w:val="99"/>
    <w:semiHidden/>
    <w:unhideWhenUsed/>
    <w:rsid w:val="000A3F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874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a.gov/vafor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opm.gov/policy-data-oversight/pay-leave/salaries-wages/salary-tables/pdf/2020/RUS_h.pdf" TargetMode="External"/><Relationship Id="rId4" Type="http://schemas.openxmlformats.org/officeDocument/2006/relationships/settings" Target="settings.xml"/><Relationship Id="rId9" Type="http://schemas.openxmlformats.org/officeDocument/2006/relationships/hyperlink" Target="https://www.bls.gov/oes/current/oes_na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75FB2-1AE9-4EC1-A5FF-62BA1C90A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1736</Words>
  <Characters>9900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SF 83 SS VAF 21-8926</vt:lpstr>
    </vt:vector>
  </TitlesOfParts>
  <Company>Veterans Benefits Administration</Company>
  <LinksUpToDate>false</LinksUpToDate>
  <CharactersWithSpaces>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 83 SS VAF 21-8926</dc:title>
  <dc:creator>D.Gonzalez</dc:creator>
  <cp:lastModifiedBy>Kessinger, Nancy J., VBAVACO</cp:lastModifiedBy>
  <cp:revision>3</cp:revision>
  <cp:lastPrinted>2017-08-30T14:02:00Z</cp:lastPrinted>
  <dcterms:created xsi:type="dcterms:W3CDTF">2020-10-14T14:10:00Z</dcterms:created>
  <dcterms:modified xsi:type="dcterms:W3CDTF">2020-10-14T14:13:00Z</dcterms:modified>
</cp:coreProperties>
</file>