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33D" w:rsidP="002D4D3A" w:rsidRDefault="00456179" w14:paraId="7795C683" w14:textId="77777777">
      <w:pPr>
        <w:pStyle w:val="Heading1"/>
        <w:jc w:val="center"/>
      </w:pPr>
      <w:bookmarkStart w:name="_Toc68611929" w:id="0"/>
      <w:bookmarkStart w:name="_Toc82433683" w:id="1"/>
      <w:r w:rsidRPr="00456179">
        <w:t>SUPPORTING STATEMENT</w:t>
      </w:r>
      <w:bookmarkEnd w:id="0"/>
      <w:bookmarkEnd w:id="1"/>
    </w:p>
    <w:p w:rsidRPr="002D4D3A" w:rsidR="009B633D" w:rsidP="008D0099" w:rsidRDefault="00456179" w14:paraId="7EDD7A0F" w14:textId="77777777">
      <w:pPr>
        <w:pStyle w:val="Heading1"/>
        <w:spacing w:after="600"/>
        <w:jc w:val="center"/>
      </w:pPr>
      <w:bookmarkStart w:name="_Toc68611930" w:id="2"/>
      <w:bookmarkStart w:name="_Toc82433684" w:id="3"/>
      <w:r w:rsidRPr="002D4D3A">
        <w:t>Part A</w:t>
      </w:r>
      <w:bookmarkEnd w:id="2"/>
      <w:bookmarkEnd w:id="3"/>
    </w:p>
    <w:p w:rsidR="0045008B" w:rsidP="003109B5" w:rsidRDefault="00D90589" w14:paraId="587A45C9" w14:textId="77777777">
      <w:pPr>
        <w:spacing w:after="240"/>
        <w:jc w:val="center"/>
        <w:rPr>
          <w:sz w:val="28"/>
          <w:szCs w:val="28"/>
        </w:rPr>
      </w:pPr>
      <w:r w:rsidRPr="00D90589">
        <w:rPr>
          <w:sz w:val="28"/>
          <w:szCs w:val="28"/>
        </w:rPr>
        <w:t xml:space="preserve">Medicare Beneficiary Experiences with </w:t>
      </w:r>
    </w:p>
    <w:p w:rsidR="00281ADF" w:rsidP="003109B5" w:rsidRDefault="00D90589" w14:paraId="25200BCD" w14:textId="77777777">
      <w:pPr>
        <w:spacing w:after="240"/>
        <w:jc w:val="center"/>
        <w:rPr>
          <w:sz w:val="28"/>
          <w:szCs w:val="28"/>
        </w:rPr>
      </w:pPr>
      <w:r w:rsidRPr="00D90589">
        <w:rPr>
          <w:sz w:val="28"/>
          <w:szCs w:val="28"/>
        </w:rPr>
        <w:t>Care Survey</w:t>
      </w:r>
      <w:r w:rsidR="00450F90">
        <w:rPr>
          <w:sz w:val="28"/>
          <w:szCs w:val="28"/>
        </w:rPr>
        <w:t xml:space="preserve"> (MBECS)</w:t>
      </w:r>
      <w:r w:rsidR="00AF750F">
        <w:rPr>
          <w:sz w:val="28"/>
          <w:szCs w:val="28"/>
        </w:rPr>
        <w:t xml:space="preserve"> System</w:t>
      </w:r>
    </w:p>
    <w:p w:rsidRPr="00D90589" w:rsidR="008C7E89" w:rsidP="003109B5" w:rsidRDefault="008C7E89" w14:paraId="4889A2EE" w14:textId="14553D5E">
      <w:pPr>
        <w:spacing w:after="240"/>
        <w:jc w:val="center"/>
        <w:rPr>
          <w:sz w:val="28"/>
          <w:szCs w:val="28"/>
        </w:rPr>
      </w:pPr>
      <w:r>
        <w:rPr>
          <w:sz w:val="28"/>
          <w:szCs w:val="28"/>
        </w:rPr>
        <w:t xml:space="preserve"> (CMS-10701, OMB 0938-New)</w:t>
      </w:r>
    </w:p>
    <w:p w:rsidR="009B633D" w:rsidP="008D0099" w:rsidRDefault="003109B5" w14:paraId="22339721" w14:textId="197B3D5A">
      <w:pPr>
        <w:spacing w:before="100" w:beforeAutospacing="1" w:after="5040"/>
        <w:jc w:val="center"/>
        <w:rPr>
          <w:sz w:val="28"/>
          <w:szCs w:val="28"/>
        </w:rPr>
      </w:pPr>
      <w:r>
        <w:rPr>
          <w:sz w:val="28"/>
          <w:szCs w:val="28"/>
        </w:rPr>
        <w:t>February 11</w:t>
      </w:r>
      <w:r w:rsidR="005D7759">
        <w:rPr>
          <w:sz w:val="28"/>
          <w:szCs w:val="28"/>
        </w:rPr>
        <w:t>, 202</w:t>
      </w:r>
      <w:r>
        <w:rPr>
          <w:sz w:val="28"/>
          <w:szCs w:val="28"/>
        </w:rPr>
        <w:t>2</w:t>
      </w:r>
      <w:bookmarkStart w:name="_GoBack" w:id="4"/>
      <w:bookmarkEnd w:id="4"/>
    </w:p>
    <w:p w:rsidR="009B633D" w:rsidP="009B633D" w:rsidRDefault="00D90589" w14:paraId="39C20DB5" w14:textId="4F4E28AD">
      <w:pPr>
        <w:jc w:val="center"/>
      </w:pPr>
      <w:r>
        <w:t xml:space="preserve">Centers for Medicare &amp; Medicaid Services, </w:t>
      </w:r>
    </w:p>
    <w:p w:rsidR="00D72F05" w:rsidP="009B633D" w:rsidRDefault="00D72F05" w14:paraId="19B4AFB1" w14:textId="727782DD">
      <w:pPr>
        <w:jc w:val="center"/>
      </w:pPr>
      <w:r>
        <w:t>Office of Minority Health</w:t>
      </w:r>
    </w:p>
    <w:p w:rsidR="00D90589" w:rsidP="008C580E" w:rsidRDefault="009B633D" w14:paraId="773D10D7" w14:textId="200E2752">
      <w:pPr>
        <w:rPr>
          <w:b/>
        </w:rPr>
      </w:pPr>
      <w:r>
        <w:br w:type="page"/>
      </w:r>
    </w:p>
    <w:p w:rsidR="00D90589" w:rsidP="0045008B" w:rsidRDefault="00D90589" w14:paraId="7CBBF3B3" w14:textId="1416407B">
      <w:pPr>
        <w:pStyle w:val="TOCHeading"/>
        <w:spacing w:after="240"/>
      </w:pPr>
      <w:r>
        <w:lastRenderedPageBreak/>
        <w:t>Contents</w:t>
      </w:r>
    </w:p>
    <w:p w:rsidRPr="00B86690" w:rsidR="00B86690" w:rsidP="003A39C4" w:rsidRDefault="00B86690" w14:paraId="34B473EB" w14:textId="58863219">
      <w:r>
        <w:t>Background……………………………………………………………………………………</w:t>
      </w:r>
      <w:proofErr w:type="gramStart"/>
      <w:r>
        <w:t>…..</w:t>
      </w:r>
      <w:proofErr w:type="gramEnd"/>
      <w:r>
        <w:t>2</w:t>
      </w:r>
    </w:p>
    <w:p w:rsidR="00DD23CE" w:rsidRDefault="00D90589" w14:paraId="383589D8" w14:textId="7D3135CC">
      <w:pPr>
        <w:pStyle w:val="TOC1"/>
        <w:tabs>
          <w:tab w:val="right" w:leader="dot" w:pos="9350"/>
        </w:tabs>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82433683">
        <w:r w:rsidRPr="002E3058" w:rsidR="00DD23CE">
          <w:rPr>
            <w:rStyle w:val="Hyperlink"/>
            <w:noProof/>
          </w:rPr>
          <w:t>SUPPORTING STATEMENT</w:t>
        </w:r>
        <w:r w:rsidR="00DD23CE">
          <w:rPr>
            <w:noProof/>
            <w:webHidden/>
          </w:rPr>
          <w:tab/>
        </w:r>
        <w:r w:rsidR="00DD23CE">
          <w:rPr>
            <w:noProof/>
            <w:webHidden/>
          </w:rPr>
          <w:fldChar w:fldCharType="begin"/>
        </w:r>
        <w:r w:rsidR="00DD23CE">
          <w:rPr>
            <w:noProof/>
            <w:webHidden/>
          </w:rPr>
          <w:instrText xml:space="preserve"> PAGEREF _Toc82433683 \h </w:instrText>
        </w:r>
        <w:r w:rsidR="00DD23CE">
          <w:rPr>
            <w:noProof/>
            <w:webHidden/>
          </w:rPr>
        </w:r>
        <w:r w:rsidR="00DD23CE">
          <w:rPr>
            <w:noProof/>
            <w:webHidden/>
          </w:rPr>
          <w:fldChar w:fldCharType="separate"/>
        </w:r>
        <w:r w:rsidR="00DD23CE">
          <w:rPr>
            <w:noProof/>
            <w:webHidden/>
          </w:rPr>
          <w:t>0</w:t>
        </w:r>
        <w:r w:rsidR="00DD23CE">
          <w:rPr>
            <w:noProof/>
            <w:webHidden/>
          </w:rPr>
          <w:fldChar w:fldCharType="end"/>
        </w:r>
      </w:hyperlink>
    </w:p>
    <w:p w:rsidR="00DD23CE" w:rsidRDefault="003109B5" w14:paraId="78F5EB9F" w14:textId="677A9FBE">
      <w:pPr>
        <w:pStyle w:val="TOC1"/>
        <w:tabs>
          <w:tab w:val="right" w:leader="dot" w:pos="9350"/>
        </w:tabs>
        <w:rPr>
          <w:rFonts w:asciiTheme="minorHAnsi" w:hAnsiTheme="minorHAnsi" w:eastAsiaTheme="minorEastAsia" w:cstheme="minorBidi"/>
          <w:noProof/>
          <w:sz w:val="22"/>
          <w:szCs w:val="22"/>
        </w:rPr>
      </w:pPr>
      <w:hyperlink w:history="1" w:anchor="_Toc82433684">
        <w:r w:rsidRPr="002E3058" w:rsidR="00DD23CE">
          <w:rPr>
            <w:rStyle w:val="Hyperlink"/>
            <w:noProof/>
          </w:rPr>
          <w:t>Part A</w:t>
        </w:r>
        <w:r w:rsidR="00DD23CE">
          <w:rPr>
            <w:noProof/>
            <w:webHidden/>
          </w:rPr>
          <w:tab/>
        </w:r>
        <w:r w:rsidR="00DD23CE">
          <w:rPr>
            <w:noProof/>
            <w:webHidden/>
          </w:rPr>
          <w:fldChar w:fldCharType="begin"/>
        </w:r>
        <w:r w:rsidR="00DD23CE">
          <w:rPr>
            <w:noProof/>
            <w:webHidden/>
          </w:rPr>
          <w:instrText xml:space="preserve"> PAGEREF _Toc82433684 \h </w:instrText>
        </w:r>
        <w:r w:rsidR="00DD23CE">
          <w:rPr>
            <w:noProof/>
            <w:webHidden/>
          </w:rPr>
        </w:r>
        <w:r w:rsidR="00DD23CE">
          <w:rPr>
            <w:noProof/>
            <w:webHidden/>
          </w:rPr>
          <w:fldChar w:fldCharType="separate"/>
        </w:r>
        <w:r w:rsidR="00DD23CE">
          <w:rPr>
            <w:noProof/>
            <w:webHidden/>
          </w:rPr>
          <w:t>0</w:t>
        </w:r>
        <w:r w:rsidR="00DD23CE">
          <w:rPr>
            <w:noProof/>
            <w:webHidden/>
          </w:rPr>
          <w:fldChar w:fldCharType="end"/>
        </w:r>
      </w:hyperlink>
    </w:p>
    <w:p w:rsidR="00DD23CE" w:rsidRDefault="003109B5" w14:paraId="0D5D2FE5" w14:textId="2DE186C4">
      <w:pPr>
        <w:pStyle w:val="TOC1"/>
        <w:tabs>
          <w:tab w:val="left" w:pos="480"/>
          <w:tab w:val="right" w:leader="dot" w:pos="9350"/>
        </w:tabs>
        <w:rPr>
          <w:rFonts w:asciiTheme="minorHAnsi" w:hAnsiTheme="minorHAnsi" w:eastAsiaTheme="minorEastAsia" w:cstheme="minorBidi"/>
          <w:noProof/>
          <w:sz w:val="22"/>
          <w:szCs w:val="22"/>
        </w:rPr>
      </w:pPr>
      <w:hyperlink w:history="1" w:anchor="_Toc82433685">
        <w:r w:rsidRPr="002E3058" w:rsidR="00DD23CE">
          <w:rPr>
            <w:rStyle w:val="Hyperlink"/>
            <w:noProof/>
          </w:rPr>
          <w:t>A.</w:t>
        </w:r>
        <w:r w:rsidR="00DD23CE">
          <w:rPr>
            <w:rFonts w:asciiTheme="minorHAnsi" w:hAnsiTheme="minorHAnsi" w:eastAsiaTheme="minorEastAsia" w:cstheme="minorBidi"/>
            <w:noProof/>
            <w:sz w:val="22"/>
            <w:szCs w:val="22"/>
          </w:rPr>
          <w:tab/>
        </w:r>
        <w:r w:rsidRPr="002E3058" w:rsidR="00DD23CE">
          <w:rPr>
            <w:rStyle w:val="Hyperlink"/>
            <w:noProof/>
          </w:rPr>
          <w:t xml:space="preserve">Background </w:t>
        </w:r>
        <w:r w:rsidR="00DD23CE">
          <w:rPr>
            <w:noProof/>
            <w:webHidden/>
          </w:rPr>
          <w:tab/>
        </w:r>
        <w:r w:rsidR="00DD23CE">
          <w:rPr>
            <w:noProof/>
            <w:webHidden/>
          </w:rPr>
          <w:fldChar w:fldCharType="begin"/>
        </w:r>
        <w:r w:rsidR="00DD23CE">
          <w:rPr>
            <w:noProof/>
            <w:webHidden/>
          </w:rPr>
          <w:instrText xml:space="preserve"> PAGEREF _Toc82433685 \h </w:instrText>
        </w:r>
        <w:r w:rsidR="00DD23CE">
          <w:rPr>
            <w:noProof/>
            <w:webHidden/>
          </w:rPr>
        </w:r>
        <w:r w:rsidR="00DD23CE">
          <w:rPr>
            <w:noProof/>
            <w:webHidden/>
          </w:rPr>
          <w:fldChar w:fldCharType="separate"/>
        </w:r>
        <w:r w:rsidR="00DD23CE">
          <w:rPr>
            <w:noProof/>
            <w:webHidden/>
          </w:rPr>
          <w:t>2</w:t>
        </w:r>
        <w:r w:rsidR="00DD23CE">
          <w:rPr>
            <w:noProof/>
            <w:webHidden/>
          </w:rPr>
          <w:fldChar w:fldCharType="end"/>
        </w:r>
      </w:hyperlink>
    </w:p>
    <w:p w:rsidR="00DD23CE" w:rsidRDefault="003109B5" w14:paraId="4B0324DB" w14:textId="4FA66BE1">
      <w:pPr>
        <w:pStyle w:val="TOC1"/>
        <w:tabs>
          <w:tab w:val="right" w:leader="dot" w:pos="9350"/>
        </w:tabs>
        <w:rPr>
          <w:rFonts w:asciiTheme="minorHAnsi" w:hAnsiTheme="minorHAnsi" w:eastAsiaTheme="minorEastAsia" w:cstheme="minorBidi"/>
          <w:noProof/>
          <w:sz w:val="22"/>
          <w:szCs w:val="22"/>
        </w:rPr>
      </w:pPr>
      <w:hyperlink w:history="1" w:anchor="_Toc82433686">
        <w:r w:rsidRPr="002E3058" w:rsidR="00DD23CE">
          <w:rPr>
            <w:rStyle w:val="Hyperlink"/>
            <w:noProof/>
          </w:rPr>
          <w:t>B. Justification</w:t>
        </w:r>
        <w:r w:rsidR="00DD23CE">
          <w:rPr>
            <w:noProof/>
            <w:webHidden/>
          </w:rPr>
          <w:tab/>
        </w:r>
        <w:r w:rsidR="00DD23CE">
          <w:rPr>
            <w:noProof/>
            <w:webHidden/>
          </w:rPr>
          <w:fldChar w:fldCharType="begin"/>
        </w:r>
        <w:r w:rsidR="00DD23CE">
          <w:rPr>
            <w:noProof/>
            <w:webHidden/>
          </w:rPr>
          <w:instrText xml:space="preserve"> PAGEREF _Toc82433686 \h </w:instrText>
        </w:r>
        <w:r w:rsidR="00DD23CE">
          <w:rPr>
            <w:noProof/>
            <w:webHidden/>
          </w:rPr>
        </w:r>
        <w:r w:rsidR="00DD23CE">
          <w:rPr>
            <w:noProof/>
            <w:webHidden/>
          </w:rPr>
          <w:fldChar w:fldCharType="separate"/>
        </w:r>
        <w:r w:rsidR="00DD23CE">
          <w:rPr>
            <w:noProof/>
            <w:webHidden/>
          </w:rPr>
          <w:t>3</w:t>
        </w:r>
        <w:r w:rsidR="00DD23CE">
          <w:rPr>
            <w:noProof/>
            <w:webHidden/>
          </w:rPr>
          <w:fldChar w:fldCharType="end"/>
        </w:r>
      </w:hyperlink>
    </w:p>
    <w:p w:rsidR="00DD23CE" w:rsidRDefault="003109B5" w14:paraId="52A9B608" w14:textId="53DC4ADE">
      <w:pPr>
        <w:pStyle w:val="TOC2"/>
        <w:tabs>
          <w:tab w:val="right" w:leader="dot" w:pos="9350"/>
        </w:tabs>
        <w:rPr>
          <w:rFonts w:asciiTheme="minorHAnsi" w:hAnsiTheme="minorHAnsi" w:eastAsiaTheme="minorEastAsia" w:cstheme="minorBidi"/>
          <w:noProof/>
          <w:sz w:val="22"/>
          <w:szCs w:val="22"/>
        </w:rPr>
      </w:pPr>
      <w:hyperlink w:history="1" w:anchor="_Toc82433687">
        <w:r w:rsidRPr="002E3058" w:rsidR="00DD23CE">
          <w:rPr>
            <w:rStyle w:val="Hyperlink"/>
            <w:noProof/>
          </w:rPr>
          <w:t>1. Circumstances that make the collection of information necessary</w:t>
        </w:r>
        <w:r w:rsidR="00DD23CE">
          <w:rPr>
            <w:noProof/>
            <w:webHidden/>
          </w:rPr>
          <w:tab/>
        </w:r>
        <w:r w:rsidR="00DD23CE">
          <w:rPr>
            <w:noProof/>
            <w:webHidden/>
          </w:rPr>
          <w:fldChar w:fldCharType="begin"/>
        </w:r>
        <w:r w:rsidR="00DD23CE">
          <w:rPr>
            <w:noProof/>
            <w:webHidden/>
          </w:rPr>
          <w:instrText xml:space="preserve"> PAGEREF _Toc82433687 \h </w:instrText>
        </w:r>
        <w:r w:rsidR="00DD23CE">
          <w:rPr>
            <w:noProof/>
            <w:webHidden/>
          </w:rPr>
        </w:r>
        <w:r w:rsidR="00DD23CE">
          <w:rPr>
            <w:noProof/>
            <w:webHidden/>
          </w:rPr>
          <w:fldChar w:fldCharType="separate"/>
        </w:r>
        <w:r w:rsidR="00DD23CE">
          <w:rPr>
            <w:noProof/>
            <w:webHidden/>
          </w:rPr>
          <w:t>3</w:t>
        </w:r>
        <w:r w:rsidR="00DD23CE">
          <w:rPr>
            <w:noProof/>
            <w:webHidden/>
          </w:rPr>
          <w:fldChar w:fldCharType="end"/>
        </w:r>
      </w:hyperlink>
    </w:p>
    <w:p w:rsidR="00DD23CE" w:rsidRDefault="003109B5" w14:paraId="53B92DE4" w14:textId="34824320">
      <w:pPr>
        <w:pStyle w:val="TOC2"/>
        <w:tabs>
          <w:tab w:val="right" w:leader="dot" w:pos="9350"/>
        </w:tabs>
        <w:rPr>
          <w:rFonts w:asciiTheme="minorHAnsi" w:hAnsiTheme="minorHAnsi" w:eastAsiaTheme="minorEastAsia" w:cstheme="minorBidi"/>
          <w:noProof/>
          <w:sz w:val="22"/>
          <w:szCs w:val="22"/>
        </w:rPr>
      </w:pPr>
      <w:hyperlink w:history="1" w:anchor="_Toc82433688">
        <w:r w:rsidRPr="002E3058" w:rsidR="00DD23CE">
          <w:rPr>
            <w:rStyle w:val="Hyperlink"/>
            <w:noProof/>
          </w:rPr>
          <w:t>2. Purpose and Use of Information</w:t>
        </w:r>
        <w:r w:rsidR="00DD23CE">
          <w:rPr>
            <w:noProof/>
            <w:webHidden/>
          </w:rPr>
          <w:tab/>
        </w:r>
        <w:r w:rsidR="00DD23CE">
          <w:rPr>
            <w:noProof/>
            <w:webHidden/>
          </w:rPr>
          <w:fldChar w:fldCharType="begin"/>
        </w:r>
        <w:r w:rsidR="00DD23CE">
          <w:rPr>
            <w:noProof/>
            <w:webHidden/>
          </w:rPr>
          <w:instrText xml:space="preserve"> PAGEREF _Toc82433688 \h </w:instrText>
        </w:r>
        <w:r w:rsidR="00DD23CE">
          <w:rPr>
            <w:noProof/>
            <w:webHidden/>
          </w:rPr>
        </w:r>
        <w:r w:rsidR="00DD23CE">
          <w:rPr>
            <w:noProof/>
            <w:webHidden/>
          </w:rPr>
          <w:fldChar w:fldCharType="separate"/>
        </w:r>
        <w:r w:rsidR="00DD23CE">
          <w:rPr>
            <w:noProof/>
            <w:webHidden/>
          </w:rPr>
          <w:t>4</w:t>
        </w:r>
        <w:r w:rsidR="00DD23CE">
          <w:rPr>
            <w:noProof/>
            <w:webHidden/>
          </w:rPr>
          <w:fldChar w:fldCharType="end"/>
        </w:r>
      </w:hyperlink>
    </w:p>
    <w:p w:rsidR="00DD23CE" w:rsidRDefault="003109B5" w14:paraId="02226DA2" w14:textId="79D3BA87">
      <w:pPr>
        <w:pStyle w:val="TOC2"/>
        <w:tabs>
          <w:tab w:val="right" w:leader="dot" w:pos="9350"/>
        </w:tabs>
        <w:rPr>
          <w:rFonts w:asciiTheme="minorHAnsi" w:hAnsiTheme="minorHAnsi" w:eastAsiaTheme="minorEastAsia" w:cstheme="minorBidi"/>
          <w:noProof/>
          <w:sz w:val="22"/>
          <w:szCs w:val="22"/>
        </w:rPr>
      </w:pPr>
      <w:hyperlink w:history="1" w:anchor="_Toc82433689">
        <w:r w:rsidRPr="002E3058" w:rsidR="00DD23CE">
          <w:rPr>
            <w:rStyle w:val="Hyperlink"/>
            <w:noProof/>
          </w:rPr>
          <w:t>3. Use of Improved Information Technology</w:t>
        </w:r>
        <w:r w:rsidR="00DD23CE">
          <w:rPr>
            <w:noProof/>
            <w:webHidden/>
          </w:rPr>
          <w:tab/>
        </w:r>
        <w:r w:rsidR="00DD23CE">
          <w:rPr>
            <w:noProof/>
            <w:webHidden/>
          </w:rPr>
          <w:fldChar w:fldCharType="begin"/>
        </w:r>
        <w:r w:rsidR="00DD23CE">
          <w:rPr>
            <w:noProof/>
            <w:webHidden/>
          </w:rPr>
          <w:instrText xml:space="preserve"> PAGEREF _Toc82433689 \h </w:instrText>
        </w:r>
        <w:r w:rsidR="00DD23CE">
          <w:rPr>
            <w:noProof/>
            <w:webHidden/>
          </w:rPr>
        </w:r>
        <w:r w:rsidR="00DD23CE">
          <w:rPr>
            <w:noProof/>
            <w:webHidden/>
          </w:rPr>
          <w:fldChar w:fldCharType="separate"/>
        </w:r>
        <w:r w:rsidR="00DD23CE">
          <w:rPr>
            <w:noProof/>
            <w:webHidden/>
          </w:rPr>
          <w:t>5</w:t>
        </w:r>
        <w:r w:rsidR="00DD23CE">
          <w:rPr>
            <w:noProof/>
            <w:webHidden/>
          </w:rPr>
          <w:fldChar w:fldCharType="end"/>
        </w:r>
      </w:hyperlink>
    </w:p>
    <w:p w:rsidR="00DD23CE" w:rsidRDefault="003109B5" w14:paraId="7DD47F3E" w14:textId="4BF062B4">
      <w:pPr>
        <w:pStyle w:val="TOC2"/>
        <w:tabs>
          <w:tab w:val="right" w:leader="dot" w:pos="9350"/>
        </w:tabs>
        <w:rPr>
          <w:rFonts w:asciiTheme="minorHAnsi" w:hAnsiTheme="minorHAnsi" w:eastAsiaTheme="minorEastAsia" w:cstheme="minorBidi"/>
          <w:noProof/>
          <w:sz w:val="22"/>
          <w:szCs w:val="22"/>
        </w:rPr>
      </w:pPr>
      <w:hyperlink w:history="1" w:anchor="_Toc82433690">
        <w:r w:rsidRPr="002E3058" w:rsidR="00DD23CE">
          <w:rPr>
            <w:rStyle w:val="Hyperlink"/>
            <w:noProof/>
          </w:rPr>
          <w:t>4. Efforts to Identify Duplication</w:t>
        </w:r>
        <w:r w:rsidR="00DD23CE">
          <w:rPr>
            <w:noProof/>
            <w:webHidden/>
          </w:rPr>
          <w:tab/>
        </w:r>
        <w:r w:rsidR="00DD23CE">
          <w:rPr>
            <w:noProof/>
            <w:webHidden/>
          </w:rPr>
          <w:fldChar w:fldCharType="begin"/>
        </w:r>
        <w:r w:rsidR="00DD23CE">
          <w:rPr>
            <w:noProof/>
            <w:webHidden/>
          </w:rPr>
          <w:instrText xml:space="preserve"> PAGEREF _Toc82433690 \h </w:instrText>
        </w:r>
        <w:r w:rsidR="00DD23CE">
          <w:rPr>
            <w:noProof/>
            <w:webHidden/>
          </w:rPr>
        </w:r>
        <w:r w:rsidR="00DD23CE">
          <w:rPr>
            <w:noProof/>
            <w:webHidden/>
          </w:rPr>
          <w:fldChar w:fldCharType="separate"/>
        </w:r>
        <w:r w:rsidR="00DD23CE">
          <w:rPr>
            <w:noProof/>
            <w:webHidden/>
          </w:rPr>
          <w:t>5</w:t>
        </w:r>
        <w:r w:rsidR="00DD23CE">
          <w:rPr>
            <w:noProof/>
            <w:webHidden/>
          </w:rPr>
          <w:fldChar w:fldCharType="end"/>
        </w:r>
      </w:hyperlink>
    </w:p>
    <w:p w:rsidR="00DD23CE" w:rsidRDefault="003109B5" w14:paraId="5C2271D9" w14:textId="5FACE09C">
      <w:pPr>
        <w:pStyle w:val="TOC2"/>
        <w:tabs>
          <w:tab w:val="right" w:leader="dot" w:pos="9350"/>
        </w:tabs>
        <w:rPr>
          <w:rFonts w:asciiTheme="minorHAnsi" w:hAnsiTheme="minorHAnsi" w:eastAsiaTheme="minorEastAsia" w:cstheme="minorBidi"/>
          <w:noProof/>
          <w:sz w:val="22"/>
          <w:szCs w:val="22"/>
        </w:rPr>
      </w:pPr>
      <w:hyperlink w:history="1" w:anchor="_Toc82433691">
        <w:r w:rsidRPr="002E3058" w:rsidR="00DD23CE">
          <w:rPr>
            <w:rStyle w:val="Hyperlink"/>
            <w:noProof/>
          </w:rPr>
          <w:t>5. Involvement of Small Entities</w:t>
        </w:r>
        <w:r w:rsidR="00DD23CE">
          <w:rPr>
            <w:noProof/>
            <w:webHidden/>
          </w:rPr>
          <w:tab/>
        </w:r>
        <w:r w:rsidR="00DD23CE">
          <w:rPr>
            <w:noProof/>
            <w:webHidden/>
          </w:rPr>
          <w:fldChar w:fldCharType="begin"/>
        </w:r>
        <w:r w:rsidR="00DD23CE">
          <w:rPr>
            <w:noProof/>
            <w:webHidden/>
          </w:rPr>
          <w:instrText xml:space="preserve"> PAGEREF _Toc82433691 \h </w:instrText>
        </w:r>
        <w:r w:rsidR="00DD23CE">
          <w:rPr>
            <w:noProof/>
            <w:webHidden/>
          </w:rPr>
        </w:r>
        <w:r w:rsidR="00DD23CE">
          <w:rPr>
            <w:noProof/>
            <w:webHidden/>
          </w:rPr>
          <w:fldChar w:fldCharType="separate"/>
        </w:r>
        <w:r w:rsidR="00DD23CE">
          <w:rPr>
            <w:noProof/>
            <w:webHidden/>
          </w:rPr>
          <w:t>5</w:t>
        </w:r>
        <w:r w:rsidR="00DD23CE">
          <w:rPr>
            <w:noProof/>
            <w:webHidden/>
          </w:rPr>
          <w:fldChar w:fldCharType="end"/>
        </w:r>
      </w:hyperlink>
    </w:p>
    <w:p w:rsidR="00DD23CE" w:rsidRDefault="003109B5" w14:paraId="30767A35" w14:textId="2217ED4E">
      <w:pPr>
        <w:pStyle w:val="TOC2"/>
        <w:tabs>
          <w:tab w:val="right" w:leader="dot" w:pos="9350"/>
        </w:tabs>
        <w:rPr>
          <w:rFonts w:asciiTheme="minorHAnsi" w:hAnsiTheme="minorHAnsi" w:eastAsiaTheme="minorEastAsia" w:cstheme="minorBidi"/>
          <w:noProof/>
          <w:sz w:val="22"/>
          <w:szCs w:val="22"/>
        </w:rPr>
      </w:pPr>
      <w:hyperlink w:history="1" w:anchor="_Toc82433692">
        <w:r w:rsidRPr="002E3058" w:rsidR="00DD23CE">
          <w:rPr>
            <w:rStyle w:val="Hyperlink"/>
            <w:noProof/>
          </w:rPr>
          <w:t>6. Consequences if Information Collected Less Frequently</w:t>
        </w:r>
        <w:r w:rsidR="00DD23CE">
          <w:rPr>
            <w:noProof/>
            <w:webHidden/>
          </w:rPr>
          <w:tab/>
        </w:r>
        <w:r w:rsidR="00DD23CE">
          <w:rPr>
            <w:noProof/>
            <w:webHidden/>
          </w:rPr>
          <w:fldChar w:fldCharType="begin"/>
        </w:r>
        <w:r w:rsidR="00DD23CE">
          <w:rPr>
            <w:noProof/>
            <w:webHidden/>
          </w:rPr>
          <w:instrText xml:space="preserve"> PAGEREF _Toc82433692 \h </w:instrText>
        </w:r>
        <w:r w:rsidR="00DD23CE">
          <w:rPr>
            <w:noProof/>
            <w:webHidden/>
          </w:rPr>
        </w:r>
        <w:r w:rsidR="00DD23CE">
          <w:rPr>
            <w:noProof/>
            <w:webHidden/>
          </w:rPr>
          <w:fldChar w:fldCharType="separate"/>
        </w:r>
        <w:r w:rsidR="00DD23CE">
          <w:rPr>
            <w:noProof/>
            <w:webHidden/>
          </w:rPr>
          <w:t>5</w:t>
        </w:r>
        <w:r w:rsidR="00DD23CE">
          <w:rPr>
            <w:noProof/>
            <w:webHidden/>
          </w:rPr>
          <w:fldChar w:fldCharType="end"/>
        </w:r>
      </w:hyperlink>
    </w:p>
    <w:p w:rsidR="00DD23CE" w:rsidRDefault="003109B5" w14:paraId="4C3B1E11" w14:textId="781884C5">
      <w:pPr>
        <w:pStyle w:val="TOC2"/>
        <w:tabs>
          <w:tab w:val="right" w:leader="dot" w:pos="9350"/>
        </w:tabs>
        <w:rPr>
          <w:rFonts w:asciiTheme="minorHAnsi" w:hAnsiTheme="minorHAnsi" w:eastAsiaTheme="minorEastAsia" w:cstheme="minorBidi"/>
          <w:noProof/>
          <w:sz w:val="22"/>
          <w:szCs w:val="22"/>
        </w:rPr>
      </w:pPr>
      <w:hyperlink w:history="1" w:anchor="_Toc82433693">
        <w:r w:rsidRPr="002E3058" w:rsidR="00DD23CE">
          <w:rPr>
            <w:rStyle w:val="Hyperlink"/>
            <w:noProof/>
          </w:rPr>
          <w:t>7. Special Circumstances</w:t>
        </w:r>
        <w:r w:rsidR="00DD23CE">
          <w:rPr>
            <w:noProof/>
            <w:webHidden/>
          </w:rPr>
          <w:tab/>
        </w:r>
        <w:r w:rsidR="00DD23CE">
          <w:rPr>
            <w:noProof/>
            <w:webHidden/>
          </w:rPr>
          <w:fldChar w:fldCharType="begin"/>
        </w:r>
        <w:r w:rsidR="00DD23CE">
          <w:rPr>
            <w:noProof/>
            <w:webHidden/>
          </w:rPr>
          <w:instrText xml:space="preserve"> PAGEREF _Toc82433693 \h </w:instrText>
        </w:r>
        <w:r w:rsidR="00DD23CE">
          <w:rPr>
            <w:noProof/>
            <w:webHidden/>
          </w:rPr>
        </w:r>
        <w:r w:rsidR="00DD23CE">
          <w:rPr>
            <w:noProof/>
            <w:webHidden/>
          </w:rPr>
          <w:fldChar w:fldCharType="separate"/>
        </w:r>
        <w:r w:rsidR="00DD23CE">
          <w:rPr>
            <w:noProof/>
            <w:webHidden/>
          </w:rPr>
          <w:t>6</w:t>
        </w:r>
        <w:r w:rsidR="00DD23CE">
          <w:rPr>
            <w:noProof/>
            <w:webHidden/>
          </w:rPr>
          <w:fldChar w:fldCharType="end"/>
        </w:r>
      </w:hyperlink>
    </w:p>
    <w:p w:rsidR="00DD23CE" w:rsidRDefault="003109B5" w14:paraId="12FD51B6" w14:textId="2A1E9F6F">
      <w:pPr>
        <w:pStyle w:val="TOC2"/>
        <w:tabs>
          <w:tab w:val="right" w:leader="dot" w:pos="9350"/>
        </w:tabs>
        <w:rPr>
          <w:rFonts w:asciiTheme="minorHAnsi" w:hAnsiTheme="minorHAnsi" w:eastAsiaTheme="minorEastAsia" w:cstheme="minorBidi"/>
          <w:noProof/>
          <w:sz w:val="22"/>
          <w:szCs w:val="22"/>
        </w:rPr>
      </w:pPr>
      <w:hyperlink w:history="1" w:anchor="_Toc82433694">
        <w:r w:rsidRPr="002E3058" w:rsidR="00DD23CE">
          <w:rPr>
            <w:rStyle w:val="Hyperlink"/>
            <w:noProof/>
          </w:rPr>
          <w:t>8. Federal Register Notice and Outside Consultations</w:t>
        </w:r>
        <w:r w:rsidR="00DD23CE">
          <w:rPr>
            <w:noProof/>
            <w:webHidden/>
          </w:rPr>
          <w:tab/>
        </w:r>
        <w:r w:rsidR="00DD23CE">
          <w:rPr>
            <w:noProof/>
            <w:webHidden/>
          </w:rPr>
          <w:fldChar w:fldCharType="begin"/>
        </w:r>
        <w:r w:rsidR="00DD23CE">
          <w:rPr>
            <w:noProof/>
            <w:webHidden/>
          </w:rPr>
          <w:instrText xml:space="preserve"> PAGEREF _Toc82433694 \h </w:instrText>
        </w:r>
        <w:r w:rsidR="00DD23CE">
          <w:rPr>
            <w:noProof/>
            <w:webHidden/>
          </w:rPr>
        </w:r>
        <w:r w:rsidR="00DD23CE">
          <w:rPr>
            <w:noProof/>
            <w:webHidden/>
          </w:rPr>
          <w:fldChar w:fldCharType="separate"/>
        </w:r>
        <w:r w:rsidR="00DD23CE">
          <w:rPr>
            <w:noProof/>
            <w:webHidden/>
          </w:rPr>
          <w:t>6</w:t>
        </w:r>
        <w:r w:rsidR="00DD23CE">
          <w:rPr>
            <w:noProof/>
            <w:webHidden/>
          </w:rPr>
          <w:fldChar w:fldCharType="end"/>
        </w:r>
      </w:hyperlink>
    </w:p>
    <w:p w:rsidR="00DD23CE" w:rsidRDefault="003109B5" w14:paraId="1B347D4C" w14:textId="46A7904F">
      <w:pPr>
        <w:pStyle w:val="TOC3"/>
        <w:tabs>
          <w:tab w:val="right" w:leader="dot" w:pos="9350"/>
        </w:tabs>
        <w:rPr>
          <w:rFonts w:asciiTheme="minorHAnsi" w:hAnsiTheme="minorHAnsi" w:eastAsiaTheme="minorEastAsia" w:cstheme="minorBidi"/>
          <w:noProof/>
          <w:sz w:val="22"/>
          <w:szCs w:val="22"/>
        </w:rPr>
      </w:pPr>
      <w:hyperlink w:history="1" w:anchor="_Toc82433695">
        <w:r w:rsidRPr="002E3058" w:rsidR="00DD23CE">
          <w:rPr>
            <w:rStyle w:val="Hyperlink"/>
            <w:noProof/>
          </w:rPr>
          <w:t>8.a. Federal Register Notice</w:t>
        </w:r>
        <w:r w:rsidR="00DD23CE">
          <w:rPr>
            <w:noProof/>
            <w:webHidden/>
          </w:rPr>
          <w:tab/>
        </w:r>
        <w:r w:rsidR="00DD23CE">
          <w:rPr>
            <w:noProof/>
            <w:webHidden/>
          </w:rPr>
          <w:fldChar w:fldCharType="begin"/>
        </w:r>
        <w:r w:rsidR="00DD23CE">
          <w:rPr>
            <w:noProof/>
            <w:webHidden/>
          </w:rPr>
          <w:instrText xml:space="preserve"> PAGEREF _Toc82433695 \h </w:instrText>
        </w:r>
        <w:r w:rsidR="00DD23CE">
          <w:rPr>
            <w:noProof/>
            <w:webHidden/>
          </w:rPr>
        </w:r>
        <w:r w:rsidR="00DD23CE">
          <w:rPr>
            <w:noProof/>
            <w:webHidden/>
          </w:rPr>
          <w:fldChar w:fldCharType="separate"/>
        </w:r>
        <w:r w:rsidR="00DD23CE">
          <w:rPr>
            <w:noProof/>
            <w:webHidden/>
          </w:rPr>
          <w:t>6</w:t>
        </w:r>
        <w:r w:rsidR="00DD23CE">
          <w:rPr>
            <w:noProof/>
            <w:webHidden/>
          </w:rPr>
          <w:fldChar w:fldCharType="end"/>
        </w:r>
      </w:hyperlink>
    </w:p>
    <w:p w:rsidR="00DD23CE" w:rsidRDefault="003109B5" w14:paraId="47B79FB4" w14:textId="723AE476">
      <w:pPr>
        <w:pStyle w:val="TOC3"/>
        <w:tabs>
          <w:tab w:val="right" w:leader="dot" w:pos="9350"/>
        </w:tabs>
        <w:rPr>
          <w:rFonts w:asciiTheme="minorHAnsi" w:hAnsiTheme="minorHAnsi" w:eastAsiaTheme="minorEastAsia" w:cstheme="minorBidi"/>
          <w:noProof/>
          <w:sz w:val="22"/>
          <w:szCs w:val="22"/>
        </w:rPr>
      </w:pPr>
      <w:hyperlink w:history="1" w:anchor="_Toc82433696">
        <w:r w:rsidRPr="002E3058" w:rsidR="00DD23CE">
          <w:rPr>
            <w:rStyle w:val="Hyperlink"/>
            <w:noProof/>
          </w:rPr>
          <w:t>8.b. Outside Consultations</w:t>
        </w:r>
        <w:r w:rsidR="00DD23CE">
          <w:rPr>
            <w:noProof/>
            <w:webHidden/>
          </w:rPr>
          <w:tab/>
        </w:r>
        <w:r w:rsidR="00DD23CE">
          <w:rPr>
            <w:noProof/>
            <w:webHidden/>
          </w:rPr>
          <w:fldChar w:fldCharType="begin"/>
        </w:r>
        <w:r w:rsidR="00DD23CE">
          <w:rPr>
            <w:noProof/>
            <w:webHidden/>
          </w:rPr>
          <w:instrText xml:space="preserve"> PAGEREF _Toc82433696 \h </w:instrText>
        </w:r>
        <w:r w:rsidR="00DD23CE">
          <w:rPr>
            <w:noProof/>
            <w:webHidden/>
          </w:rPr>
        </w:r>
        <w:r w:rsidR="00DD23CE">
          <w:rPr>
            <w:noProof/>
            <w:webHidden/>
          </w:rPr>
          <w:fldChar w:fldCharType="separate"/>
        </w:r>
        <w:r w:rsidR="00DD23CE">
          <w:rPr>
            <w:noProof/>
            <w:webHidden/>
          </w:rPr>
          <w:t>6</w:t>
        </w:r>
        <w:r w:rsidR="00DD23CE">
          <w:rPr>
            <w:noProof/>
            <w:webHidden/>
          </w:rPr>
          <w:fldChar w:fldCharType="end"/>
        </w:r>
      </w:hyperlink>
    </w:p>
    <w:p w:rsidR="00DD23CE" w:rsidRDefault="003109B5" w14:paraId="6A76A716" w14:textId="5A4C69FF">
      <w:pPr>
        <w:pStyle w:val="TOC2"/>
        <w:tabs>
          <w:tab w:val="right" w:leader="dot" w:pos="9350"/>
        </w:tabs>
        <w:rPr>
          <w:rFonts w:asciiTheme="minorHAnsi" w:hAnsiTheme="minorHAnsi" w:eastAsiaTheme="minorEastAsia" w:cstheme="minorBidi"/>
          <w:noProof/>
          <w:sz w:val="22"/>
          <w:szCs w:val="22"/>
        </w:rPr>
      </w:pPr>
      <w:hyperlink w:history="1" w:anchor="_Toc82433697">
        <w:r w:rsidRPr="002E3058" w:rsidR="00DD23CE">
          <w:rPr>
            <w:rStyle w:val="Hyperlink"/>
            <w:noProof/>
          </w:rPr>
          <w:t>9. Payments/Gifts to Respondents</w:t>
        </w:r>
        <w:r w:rsidR="00DD23CE">
          <w:rPr>
            <w:noProof/>
            <w:webHidden/>
          </w:rPr>
          <w:tab/>
        </w:r>
        <w:r w:rsidR="00DD23CE">
          <w:rPr>
            <w:noProof/>
            <w:webHidden/>
          </w:rPr>
          <w:fldChar w:fldCharType="begin"/>
        </w:r>
        <w:r w:rsidR="00DD23CE">
          <w:rPr>
            <w:noProof/>
            <w:webHidden/>
          </w:rPr>
          <w:instrText xml:space="preserve"> PAGEREF _Toc82433697 \h </w:instrText>
        </w:r>
        <w:r w:rsidR="00DD23CE">
          <w:rPr>
            <w:noProof/>
            <w:webHidden/>
          </w:rPr>
        </w:r>
        <w:r w:rsidR="00DD23CE">
          <w:rPr>
            <w:noProof/>
            <w:webHidden/>
          </w:rPr>
          <w:fldChar w:fldCharType="separate"/>
        </w:r>
        <w:r w:rsidR="00DD23CE">
          <w:rPr>
            <w:noProof/>
            <w:webHidden/>
          </w:rPr>
          <w:t>7</w:t>
        </w:r>
        <w:r w:rsidR="00DD23CE">
          <w:rPr>
            <w:noProof/>
            <w:webHidden/>
          </w:rPr>
          <w:fldChar w:fldCharType="end"/>
        </w:r>
      </w:hyperlink>
    </w:p>
    <w:p w:rsidR="00DD23CE" w:rsidRDefault="003109B5" w14:paraId="64F4EA01" w14:textId="5C0D242E">
      <w:pPr>
        <w:pStyle w:val="TOC2"/>
        <w:tabs>
          <w:tab w:val="right" w:leader="dot" w:pos="9350"/>
        </w:tabs>
        <w:rPr>
          <w:rFonts w:asciiTheme="minorHAnsi" w:hAnsiTheme="minorHAnsi" w:eastAsiaTheme="minorEastAsia" w:cstheme="minorBidi"/>
          <w:noProof/>
          <w:sz w:val="22"/>
          <w:szCs w:val="22"/>
        </w:rPr>
      </w:pPr>
      <w:hyperlink w:history="1" w:anchor="_Toc82433698">
        <w:r w:rsidRPr="002E3058" w:rsidR="00DD23CE">
          <w:rPr>
            <w:rStyle w:val="Hyperlink"/>
            <w:noProof/>
          </w:rPr>
          <w:t>10. Assurance of Confidentiality</w:t>
        </w:r>
        <w:r w:rsidR="00DD23CE">
          <w:rPr>
            <w:noProof/>
            <w:webHidden/>
          </w:rPr>
          <w:tab/>
        </w:r>
        <w:r w:rsidR="00DD23CE">
          <w:rPr>
            <w:noProof/>
            <w:webHidden/>
          </w:rPr>
          <w:fldChar w:fldCharType="begin"/>
        </w:r>
        <w:r w:rsidR="00DD23CE">
          <w:rPr>
            <w:noProof/>
            <w:webHidden/>
          </w:rPr>
          <w:instrText xml:space="preserve"> PAGEREF _Toc82433698 \h </w:instrText>
        </w:r>
        <w:r w:rsidR="00DD23CE">
          <w:rPr>
            <w:noProof/>
            <w:webHidden/>
          </w:rPr>
        </w:r>
        <w:r w:rsidR="00DD23CE">
          <w:rPr>
            <w:noProof/>
            <w:webHidden/>
          </w:rPr>
          <w:fldChar w:fldCharType="separate"/>
        </w:r>
        <w:r w:rsidR="00DD23CE">
          <w:rPr>
            <w:noProof/>
            <w:webHidden/>
          </w:rPr>
          <w:t>7</w:t>
        </w:r>
        <w:r w:rsidR="00DD23CE">
          <w:rPr>
            <w:noProof/>
            <w:webHidden/>
          </w:rPr>
          <w:fldChar w:fldCharType="end"/>
        </w:r>
      </w:hyperlink>
    </w:p>
    <w:p w:rsidR="00DD23CE" w:rsidRDefault="003109B5" w14:paraId="22C22199" w14:textId="6CA11555">
      <w:pPr>
        <w:pStyle w:val="TOC2"/>
        <w:tabs>
          <w:tab w:val="right" w:leader="dot" w:pos="9350"/>
        </w:tabs>
        <w:rPr>
          <w:rFonts w:asciiTheme="minorHAnsi" w:hAnsiTheme="minorHAnsi" w:eastAsiaTheme="minorEastAsia" w:cstheme="minorBidi"/>
          <w:noProof/>
          <w:sz w:val="22"/>
          <w:szCs w:val="22"/>
        </w:rPr>
      </w:pPr>
      <w:hyperlink w:history="1" w:anchor="_Toc82433699">
        <w:r w:rsidRPr="002E3058" w:rsidR="00DD23CE">
          <w:rPr>
            <w:rStyle w:val="Hyperlink"/>
            <w:noProof/>
          </w:rPr>
          <w:t>11. Questions of a Sensitive Nature</w:t>
        </w:r>
        <w:r w:rsidR="00DD23CE">
          <w:rPr>
            <w:noProof/>
            <w:webHidden/>
          </w:rPr>
          <w:tab/>
        </w:r>
        <w:r w:rsidR="00DD23CE">
          <w:rPr>
            <w:noProof/>
            <w:webHidden/>
          </w:rPr>
          <w:fldChar w:fldCharType="begin"/>
        </w:r>
        <w:r w:rsidR="00DD23CE">
          <w:rPr>
            <w:noProof/>
            <w:webHidden/>
          </w:rPr>
          <w:instrText xml:space="preserve"> PAGEREF _Toc82433699 \h </w:instrText>
        </w:r>
        <w:r w:rsidR="00DD23CE">
          <w:rPr>
            <w:noProof/>
            <w:webHidden/>
          </w:rPr>
        </w:r>
        <w:r w:rsidR="00DD23CE">
          <w:rPr>
            <w:noProof/>
            <w:webHidden/>
          </w:rPr>
          <w:fldChar w:fldCharType="separate"/>
        </w:r>
        <w:r w:rsidR="00DD23CE">
          <w:rPr>
            <w:noProof/>
            <w:webHidden/>
          </w:rPr>
          <w:t>9</w:t>
        </w:r>
        <w:r w:rsidR="00DD23CE">
          <w:rPr>
            <w:noProof/>
            <w:webHidden/>
          </w:rPr>
          <w:fldChar w:fldCharType="end"/>
        </w:r>
      </w:hyperlink>
    </w:p>
    <w:p w:rsidR="00DD23CE" w:rsidRDefault="003109B5" w14:paraId="0C8FC061" w14:textId="687EF203">
      <w:pPr>
        <w:pStyle w:val="TOC2"/>
        <w:tabs>
          <w:tab w:val="right" w:leader="dot" w:pos="9350"/>
        </w:tabs>
        <w:rPr>
          <w:rFonts w:asciiTheme="minorHAnsi" w:hAnsiTheme="minorHAnsi" w:eastAsiaTheme="minorEastAsia" w:cstheme="minorBidi"/>
          <w:noProof/>
          <w:sz w:val="22"/>
          <w:szCs w:val="22"/>
        </w:rPr>
      </w:pPr>
      <w:hyperlink w:history="1" w:anchor="_Toc82433700">
        <w:r w:rsidRPr="002E3058" w:rsidR="00DD23CE">
          <w:rPr>
            <w:rStyle w:val="Hyperlink"/>
            <w:noProof/>
          </w:rPr>
          <w:t>12. Estimates of Individual Population of Interest and Total Burden Hours and Costs</w:t>
        </w:r>
        <w:r w:rsidR="00DD23CE">
          <w:rPr>
            <w:noProof/>
            <w:webHidden/>
          </w:rPr>
          <w:tab/>
        </w:r>
        <w:r w:rsidR="00DD23CE">
          <w:rPr>
            <w:noProof/>
            <w:webHidden/>
          </w:rPr>
          <w:fldChar w:fldCharType="begin"/>
        </w:r>
        <w:r w:rsidR="00DD23CE">
          <w:rPr>
            <w:noProof/>
            <w:webHidden/>
          </w:rPr>
          <w:instrText xml:space="preserve"> PAGEREF _Toc82433700 \h </w:instrText>
        </w:r>
        <w:r w:rsidR="00DD23CE">
          <w:rPr>
            <w:noProof/>
            <w:webHidden/>
          </w:rPr>
        </w:r>
        <w:r w:rsidR="00DD23CE">
          <w:rPr>
            <w:noProof/>
            <w:webHidden/>
          </w:rPr>
          <w:fldChar w:fldCharType="separate"/>
        </w:r>
        <w:r w:rsidR="00DD23CE">
          <w:rPr>
            <w:noProof/>
            <w:webHidden/>
          </w:rPr>
          <w:t>9</w:t>
        </w:r>
        <w:r w:rsidR="00DD23CE">
          <w:rPr>
            <w:noProof/>
            <w:webHidden/>
          </w:rPr>
          <w:fldChar w:fldCharType="end"/>
        </w:r>
      </w:hyperlink>
    </w:p>
    <w:p w:rsidR="00DD23CE" w:rsidRDefault="003109B5" w14:paraId="01D3FBE5" w14:textId="66A6A56F">
      <w:pPr>
        <w:pStyle w:val="TOC2"/>
        <w:tabs>
          <w:tab w:val="right" w:leader="dot" w:pos="9350"/>
        </w:tabs>
        <w:rPr>
          <w:rFonts w:asciiTheme="minorHAnsi" w:hAnsiTheme="minorHAnsi" w:eastAsiaTheme="minorEastAsia" w:cstheme="minorBidi"/>
          <w:noProof/>
          <w:sz w:val="22"/>
          <w:szCs w:val="22"/>
        </w:rPr>
      </w:pPr>
      <w:hyperlink w:history="1" w:anchor="_Toc82433701">
        <w:r w:rsidRPr="002E3058" w:rsidR="00DD23CE">
          <w:rPr>
            <w:rStyle w:val="Hyperlink"/>
            <w:noProof/>
          </w:rPr>
          <w:t>13. Estimates of Annualized Respondent Capital and Maintenance Costs</w:t>
        </w:r>
        <w:r w:rsidR="00DD23CE">
          <w:rPr>
            <w:noProof/>
            <w:webHidden/>
          </w:rPr>
          <w:tab/>
        </w:r>
        <w:r w:rsidR="00DD23CE">
          <w:rPr>
            <w:noProof/>
            <w:webHidden/>
          </w:rPr>
          <w:fldChar w:fldCharType="begin"/>
        </w:r>
        <w:r w:rsidR="00DD23CE">
          <w:rPr>
            <w:noProof/>
            <w:webHidden/>
          </w:rPr>
          <w:instrText xml:space="preserve"> PAGEREF _Toc82433701 \h </w:instrText>
        </w:r>
        <w:r w:rsidR="00DD23CE">
          <w:rPr>
            <w:noProof/>
            <w:webHidden/>
          </w:rPr>
        </w:r>
        <w:r w:rsidR="00DD23CE">
          <w:rPr>
            <w:noProof/>
            <w:webHidden/>
          </w:rPr>
          <w:fldChar w:fldCharType="separate"/>
        </w:r>
        <w:r w:rsidR="00DD23CE">
          <w:rPr>
            <w:noProof/>
            <w:webHidden/>
          </w:rPr>
          <w:t>10</w:t>
        </w:r>
        <w:r w:rsidR="00DD23CE">
          <w:rPr>
            <w:noProof/>
            <w:webHidden/>
          </w:rPr>
          <w:fldChar w:fldCharType="end"/>
        </w:r>
      </w:hyperlink>
    </w:p>
    <w:p w:rsidR="00DD23CE" w:rsidRDefault="003109B5" w14:paraId="3C732B93" w14:textId="6BD69DC3">
      <w:pPr>
        <w:pStyle w:val="TOC2"/>
        <w:tabs>
          <w:tab w:val="right" w:leader="dot" w:pos="9350"/>
        </w:tabs>
        <w:rPr>
          <w:rFonts w:asciiTheme="minorHAnsi" w:hAnsiTheme="minorHAnsi" w:eastAsiaTheme="minorEastAsia" w:cstheme="minorBidi"/>
          <w:noProof/>
          <w:sz w:val="22"/>
          <w:szCs w:val="22"/>
        </w:rPr>
      </w:pPr>
      <w:hyperlink w:history="1" w:anchor="_Toc82433702">
        <w:r w:rsidRPr="002E3058" w:rsidR="00DD23CE">
          <w:rPr>
            <w:rStyle w:val="Hyperlink"/>
            <w:noProof/>
          </w:rPr>
          <w:t>14. Estimates of Total and Annualized Cost to the Government</w:t>
        </w:r>
        <w:r w:rsidR="00DD23CE">
          <w:rPr>
            <w:noProof/>
            <w:webHidden/>
          </w:rPr>
          <w:tab/>
        </w:r>
        <w:r w:rsidR="00DD23CE">
          <w:rPr>
            <w:noProof/>
            <w:webHidden/>
          </w:rPr>
          <w:fldChar w:fldCharType="begin"/>
        </w:r>
        <w:r w:rsidR="00DD23CE">
          <w:rPr>
            <w:noProof/>
            <w:webHidden/>
          </w:rPr>
          <w:instrText xml:space="preserve"> PAGEREF _Toc82433702 \h </w:instrText>
        </w:r>
        <w:r w:rsidR="00DD23CE">
          <w:rPr>
            <w:noProof/>
            <w:webHidden/>
          </w:rPr>
        </w:r>
        <w:r w:rsidR="00DD23CE">
          <w:rPr>
            <w:noProof/>
            <w:webHidden/>
          </w:rPr>
          <w:fldChar w:fldCharType="separate"/>
        </w:r>
        <w:r w:rsidR="00DD23CE">
          <w:rPr>
            <w:noProof/>
            <w:webHidden/>
          </w:rPr>
          <w:t>10</w:t>
        </w:r>
        <w:r w:rsidR="00DD23CE">
          <w:rPr>
            <w:noProof/>
            <w:webHidden/>
          </w:rPr>
          <w:fldChar w:fldCharType="end"/>
        </w:r>
      </w:hyperlink>
    </w:p>
    <w:p w:rsidR="00DD23CE" w:rsidRDefault="003109B5" w14:paraId="295B86C4" w14:textId="2EA0B6F2">
      <w:pPr>
        <w:pStyle w:val="TOC2"/>
        <w:tabs>
          <w:tab w:val="right" w:leader="dot" w:pos="9350"/>
        </w:tabs>
        <w:rPr>
          <w:rFonts w:asciiTheme="minorHAnsi" w:hAnsiTheme="minorHAnsi" w:eastAsiaTheme="minorEastAsia" w:cstheme="minorBidi"/>
          <w:noProof/>
          <w:sz w:val="22"/>
          <w:szCs w:val="22"/>
        </w:rPr>
      </w:pPr>
      <w:hyperlink w:history="1" w:anchor="_Toc82433703">
        <w:r w:rsidRPr="002E3058" w:rsidR="00DD23CE">
          <w:rPr>
            <w:rStyle w:val="Hyperlink"/>
            <w:noProof/>
          </w:rPr>
          <w:t>15. Changes in Hour Burden</w:t>
        </w:r>
        <w:r w:rsidR="00DD23CE">
          <w:rPr>
            <w:noProof/>
            <w:webHidden/>
          </w:rPr>
          <w:tab/>
        </w:r>
        <w:r w:rsidR="00DD23CE">
          <w:rPr>
            <w:noProof/>
            <w:webHidden/>
          </w:rPr>
          <w:fldChar w:fldCharType="begin"/>
        </w:r>
        <w:r w:rsidR="00DD23CE">
          <w:rPr>
            <w:noProof/>
            <w:webHidden/>
          </w:rPr>
          <w:instrText xml:space="preserve"> PAGEREF _Toc82433703 \h </w:instrText>
        </w:r>
        <w:r w:rsidR="00DD23CE">
          <w:rPr>
            <w:noProof/>
            <w:webHidden/>
          </w:rPr>
        </w:r>
        <w:r w:rsidR="00DD23CE">
          <w:rPr>
            <w:noProof/>
            <w:webHidden/>
          </w:rPr>
          <w:fldChar w:fldCharType="separate"/>
        </w:r>
        <w:r w:rsidR="00DD23CE">
          <w:rPr>
            <w:noProof/>
            <w:webHidden/>
          </w:rPr>
          <w:t>11</w:t>
        </w:r>
        <w:r w:rsidR="00DD23CE">
          <w:rPr>
            <w:noProof/>
            <w:webHidden/>
          </w:rPr>
          <w:fldChar w:fldCharType="end"/>
        </w:r>
      </w:hyperlink>
    </w:p>
    <w:p w:rsidR="00DD23CE" w:rsidRDefault="003109B5" w14:paraId="374DC7F3" w14:textId="0B102B35">
      <w:pPr>
        <w:pStyle w:val="TOC2"/>
        <w:tabs>
          <w:tab w:val="right" w:leader="dot" w:pos="9350"/>
        </w:tabs>
        <w:rPr>
          <w:rFonts w:asciiTheme="minorHAnsi" w:hAnsiTheme="minorHAnsi" w:eastAsiaTheme="minorEastAsia" w:cstheme="minorBidi"/>
          <w:noProof/>
          <w:sz w:val="22"/>
          <w:szCs w:val="22"/>
        </w:rPr>
      </w:pPr>
      <w:hyperlink w:history="1" w:anchor="_Toc82433704">
        <w:r w:rsidRPr="002E3058" w:rsidR="00DD23CE">
          <w:rPr>
            <w:rStyle w:val="Hyperlink"/>
            <w:noProof/>
          </w:rPr>
          <w:t>16. Time Schedule, Publication and Analysis Plans</w:t>
        </w:r>
        <w:r w:rsidR="00DD23CE">
          <w:rPr>
            <w:noProof/>
            <w:webHidden/>
          </w:rPr>
          <w:tab/>
        </w:r>
        <w:r w:rsidR="00DD23CE">
          <w:rPr>
            <w:noProof/>
            <w:webHidden/>
          </w:rPr>
          <w:fldChar w:fldCharType="begin"/>
        </w:r>
        <w:r w:rsidR="00DD23CE">
          <w:rPr>
            <w:noProof/>
            <w:webHidden/>
          </w:rPr>
          <w:instrText xml:space="preserve"> PAGEREF _Toc82433704 \h </w:instrText>
        </w:r>
        <w:r w:rsidR="00DD23CE">
          <w:rPr>
            <w:noProof/>
            <w:webHidden/>
          </w:rPr>
        </w:r>
        <w:r w:rsidR="00DD23CE">
          <w:rPr>
            <w:noProof/>
            <w:webHidden/>
          </w:rPr>
          <w:fldChar w:fldCharType="separate"/>
        </w:r>
        <w:r w:rsidR="00DD23CE">
          <w:rPr>
            <w:noProof/>
            <w:webHidden/>
          </w:rPr>
          <w:t>11</w:t>
        </w:r>
        <w:r w:rsidR="00DD23CE">
          <w:rPr>
            <w:noProof/>
            <w:webHidden/>
          </w:rPr>
          <w:fldChar w:fldCharType="end"/>
        </w:r>
      </w:hyperlink>
    </w:p>
    <w:p w:rsidR="00DD23CE" w:rsidRDefault="003109B5" w14:paraId="3DFC7857" w14:textId="307BF3C9">
      <w:pPr>
        <w:pStyle w:val="TOC2"/>
        <w:tabs>
          <w:tab w:val="right" w:leader="dot" w:pos="9350"/>
        </w:tabs>
        <w:rPr>
          <w:rFonts w:asciiTheme="minorHAnsi" w:hAnsiTheme="minorHAnsi" w:eastAsiaTheme="minorEastAsia" w:cstheme="minorBidi"/>
          <w:noProof/>
          <w:sz w:val="22"/>
          <w:szCs w:val="22"/>
        </w:rPr>
      </w:pPr>
      <w:hyperlink w:history="1" w:anchor="_Toc82433705">
        <w:r w:rsidRPr="002E3058" w:rsidR="00DD23CE">
          <w:rPr>
            <w:rStyle w:val="Hyperlink"/>
            <w:noProof/>
          </w:rPr>
          <w:t>17. Exemption for Display of Expiration Date</w:t>
        </w:r>
        <w:r w:rsidR="00DD23CE">
          <w:rPr>
            <w:noProof/>
            <w:webHidden/>
          </w:rPr>
          <w:tab/>
        </w:r>
        <w:r w:rsidR="00DD23CE">
          <w:rPr>
            <w:noProof/>
            <w:webHidden/>
          </w:rPr>
          <w:fldChar w:fldCharType="begin"/>
        </w:r>
        <w:r w:rsidR="00DD23CE">
          <w:rPr>
            <w:noProof/>
            <w:webHidden/>
          </w:rPr>
          <w:instrText xml:space="preserve"> PAGEREF _Toc82433705 \h </w:instrText>
        </w:r>
        <w:r w:rsidR="00DD23CE">
          <w:rPr>
            <w:noProof/>
            <w:webHidden/>
          </w:rPr>
        </w:r>
        <w:r w:rsidR="00DD23CE">
          <w:rPr>
            <w:noProof/>
            <w:webHidden/>
          </w:rPr>
          <w:fldChar w:fldCharType="separate"/>
        </w:r>
        <w:r w:rsidR="00DD23CE">
          <w:rPr>
            <w:noProof/>
            <w:webHidden/>
          </w:rPr>
          <w:t>12</w:t>
        </w:r>
        <w:r w:rsidR="00DD23CE">
          <w:rPr>
            <w:noProof/>
            <w:webHidden/>
          </w:rPr>
          <w:fldChar w:fldCharType="end"/>
        </w:r>
      </w:hyperlink>
    </w:p>
    <w:p w:rsidR="00DD23CE" w:rsidRDefault="003109B5" w14:paraId="19A16AE3" w14:textId="5BBAD7A8">
      <w:pPr>
        <w:pStyle w:val="TOC2"/>
        <w:tabs>
          <w:tab w:val="right" w:leader="dot" w:pos="9350"/>
        </w:tabs>
        <w:rPr>
          <w:rFonts w:asciiTheme="minorHAnsi" w:hAnsiTheme="minorHAnsi" w:eastAsiaTheme="minorEastAsia" w:cstheme="minorBidi"/>
          <w:noProof/>
          <w:sz w:val="22"/>
          <w:szCs w:val="22"/>
        </w:rPr>
      </w:pPr>
      <w:hyperlink w:history="1" w:anchor="_Toc82433706">
        <w:r w:rsidRPr="002E3058" w:rsidR="00DD23CE">
          <w:rPr>
            <w:rStyle w:val="Hyperlink"/>
            <w:noProof/>
          </w:rPr>
          <w:t>18. Exceptions to Certification for Paperwork Reduction Act Submissions</w:t>
        </w:r>
        <w:r w:rsidR="00DD23CE">
          <w:rPr>
            <w:noProof/>
            <w:webHidden/>
          </w:rPr>
          <w:tab/>
        </w:r>
        <w:r w:rsidR="00DD23CE">
          <w:rPr>
            <w:noProof/>
            <w:webHidden/>
          </w:rPr>
          <w:fldChar w:fldCharType="begin"/>
        </w:r>
        <w:r w:rsidR="00DD23CE">
          <w:rPr>
            <w:noProof/>
            <w:webHidden/>
          </w:rPr>
          <w:instrText xml:space="preserve"> PAGEREF _Toc82433706 \h </w:instrText>
        </w:r>
        <w:r w:rsidR="00DD23CE">
          <w:rPr>
            <w:noProof/>
            <w:webHidden/>
          </w:rPr>
        </w:r>
        <w:r w:rsidR="00DD23CE">
          <w:rPr>
            <w:noProof/>
            <w:webHidden/>
          </w:rPr>
          <w:fldChar w:fldCharType="separate"/>
        </w:r>
        <w:r w:rsidR="00DD23CE">
          <w:rPr>
            <w:noProof/>
            <w:webHidden/>
          </w:rPr>
          <w:t>12</w:t>
        </w:r>
        <w:r w:rsidR="00DD23CE">
          <w:rPr>
            <w:noProof/>
            <w:webHidden/>
          </w:rPr>
          <w:fldChar w:fldCharType="end"/>
        </w:r>
      </w:hyperlink>
    </w:p>
    <w:p w:rsidR="00DD23CE" w:rsidRDefault="003109B5" w14:paraId="608E52AA" w14:textId="765E20AB">
      <w:pPr>
        <w:pStyle w:val="TOC2"/>
        <w:tabs>
          <w:tab w:val="right" w:leader="dot" w:pos="9350"/>
        </w:tabs>
        <w:rPr>
          <w:rFonts w:asciiTheme="minorHAnsi" w:hAnsiTheme="minorHAnsi" w:eastAsiaTheme="minorEastAsia" w:cstheme="minorBidi"/>
          <w:noProof/>
          <w:sz w:val="22"/>
          <w:szCs w:val="22"/>
        </w:rPr>
      </w:pPr>
      <w:hyperlink w:history="1" w:anchor="_Toc82433707">
        <w:r w:rsidRPr="002E3058" w:rsidR="00DD23CE">
          <w:rPr>
            <w:rStyle w:val="Hyperlink"/>
            <w:noProof/>
          </w:rPr>
          <w:t>List of Attachments:</w:t>
        </w:r>
        <w:r w:rsidR="00DD23CE">
          <w:rPr>
            <w:noProof/>
            <w:webHidden/>
          </w:rPr>
          <w:tab/>
        </w:r>
        <w:r w:rsidR="00DD23CE">
          <w:rPr>
            <w:noProof/>
            <w:webHidden/>
          </w:rPr>
          <w:fldChar w:fldCharType="begin"/>
        </w:r>
        <w:r w:rsidR="00DD23CE">
          <w:rPr>
            <w:noProof/>
            <w:webHidden/>
          </w:rPr>
          <w:instrText xml:space="preserve"> PAGEREF _Toc82433707 \h </w:instrText>
        </w:r>
        <w:r w:rsidR="00DD23CE">
          <w:rPr>
            <w:noProof/>
            <w:webHidden/>
          </w:rPr>
        </w:r>
        <w:r w:rsidR="00DD23CE">
          <w:rPr>
            <w:noProof/>
            <w:webHidden/>
          </w:rPr>
          <w:fldChar w:fldCharType="separate"/>
        </w:r>
        <w:r w:rsidR="00DD23CE">
          <w:rPr>
            <w:noProof/>
            <w:webHidden/>
          </w:rPr>
          <w:t>13</w:t>
        </w:r>
        <w:r w:rsidR="00DD23CE">
          <w:rPr>
            <w:noProof/>
            <w:webHidden/>
          </w:rPr>
          <w:fldChar w:fldCharType="end"/>
        </w:r>
      </w:hyperlink>
    </w:p>
    <w:p w:rsidR="00DD23CE" w:rsidRDefault="003109B5" w14:paraId="4F06398B" w14:textId="29A996DF">
      <w:pPr>
        <w:pStyle w:val="TOC2"/>
        <w:tabs>
          <w:tab w:val="right" w:leader="dot" w:pos="9350"/>
        </w:tabs>
        <w:rPr>
          <w:rFonts w:asciiTheme="minorHAnsi" w:hAnsiTheme="minorHAnsi" w:eastAsiaTheme="minorEastAsia" w:cstheme="minorBidi"/>
          <w:noProof/>
          <w:sz w:val="22"/>
          <w:szCs w:val="22"/>
        </w:rPr>
      </w:pPr>
      <w:hyperlink w:history="1" w:anchor="_Toc82433708">
        <w:r w:rsidRPr="002E3058" w:rsidR="00DD23CE">
          <w:rPr>
            <w:rStyle w:val="Hyperlink"/>
            <w:noProof/>
          </w:rPr>
          <w:t>References</w:t>
        </w:r>
        <w:r w:rsidR="00DD23CE">
          <w:rPr>
            <w:noProof/>
            <w:webHidden/>
          </w:rPr>
          <w:tab/>
        </w:r>
        <w:r w:rsidR="00DD23CE">
          <w:rPr>
            <w:noProof/>
            <w:webHidden/>
          </w:rPr>
          <w:fldChar w:fldCharType="begin"/>
        </w:r>
        <w:r w:rsidR="00DD23CE">
          <w:rPr>
            <w:noProof/>
            <w:webHidden/>
          </w:rPr>
          <w:instrText xml:space="preserve"> PAGEREF _Toc82433708 \h </w:instrText>
        </w:r>
        <w:r w:rsidR="00DD23CE">
          <w:rPr>
            <w:noProof/>
            <w:webHidden/>
          </w:rPr>
        </w:r>
        <w:r w:rsidR="00DD23CE">
          <w:rPr>
            <w:noProof/>
            <w:webHidden/>
          </w:rPr>
          <w:fldChar w:fldCharType="separate"/>
        </w:r>
        <w:r w:rsidR="00DD23CE">
          <w:rPr>
            <w:noProof/>
            <w:webHidden/>
          </w:rPr>
          <w:t>13</w:t>
        </w:r>
        <w:r w:rsidR="00DD23CE">
          <w:rPr>
            <w:noProof/>
            <w:webHidden/>
          </w:rPr>
          <w:fldChar w:fldCharType="end"/>
        </w:r>
      </w:hyperlink>
    </w:p>
    <w:p w:rsidR="00D90589" w:rsidP="002D4D3A" w:rsidRDefault="00D90589" w14:paraId="6F4BF582" w14:textId="3CDA7804">
      <w:r>
        <w:rPr>
          <w:b/>
          <w:bCs/>
          <w:noProof/>
        </w:rPr>
        <w:fldChar w:fldCharType="end"/>
      </w:r>
    </w:p>
    <w:p w:rsidRPr="001D0454" w:rsidR="009B633D" w:rsidP="009B633D" w:rsidRDefault="009B633D" w14:paraId="74169F55" w14:textId="57B21969">
      <w:pPr>
        <w:jc w:val="center"/>
        <w:rPr>
          <w:b/>
        </w:rPr>
      </w:pPr>
    </w:p>
    <w:p w:rsidR="00B86690" w:rsidP="002D4D3A" w:rsidRDefault="009B633D" w14:paraId="21C37E10" w14:textId="77777777">
      <w:pPr>
        <w:pStyle w:val="StyleHeading112pt"/>
      </w:pPr>
      <w:r>
        <w:br w:type="page"/>
      </w:r>
      <w:bookmarkStart w:name="_Toc151782175" w:id="5"/>
      <w:bookmarkStart w:name="_Toc158526215" w:id="6"/>
    </w:p>
    <w:p w:rsidR="00B86690" w:rsidP="003A39C4" w:rsidRDefault="00B86690" w14:paraId="05918E46" w14:textId="7AFBE541">
      <w:pPr>
        <w:pStyle w:val="StyleHeading112pt"/>
        <w:numPr>
          <w:ilvl w:val="0"/>
          <w:numId w:val="13"/>
        </w:numPr>
      </w:pPr>
      <w:bookmarkStart w:name="_Toc82433685" w:id="7"/>
      <w:r>
        <w:lastRenderedPageBreak/>
        <w:t xml:space="preserve">Background </w:t>
      </w:r>
      <w:bookmarkEnd w:id="7"/>
    </w:p>
    <w:p w:rsidRPr="006666CE" w:rsidR="002A37BA" w:rsidP="00CB56E2" w:rsidRDefault="002A37BA" w14:paraId="2A5A6943" w14:textId="77777777">
      <w:pPr>
        <w:pStyle w:val="BodyText"/>
      </w:pPr>
      <w:r w:rsidRPr="006666CE">
        <w:t>CMS is the</w:t>
      </w:r>
      <w:r>
        <w:t xml:space="preserve"> largest single payer of health </w:t>
      </w:r>
      <w:r w:rsidRPr="006666CE">
        <w:t xml:space="preserve">care in the United States. The agency plays a direct or indirect role in administering health insurance coverage for more than 120 million people across the Medicare, Medicaid, </w:t>
      </w:r>
      <w:r>
        <w:t>Children’s Health Insurance Program (</w:t>
      </w:r>
      <w:r w:rsidRPr="006666CE">
        <w:t>CHIP</w:t>
      </w:r>
      <w:r>
        <w:t>)</w:t>
      </w:r>
      <w:r w:rsidRPr="006666CE">
        <w:t xml:space="preserve">, and Marketplace populations. One of the critical functions of CMS’s Office of Minority Health (CMS OMH) is to advise CMS on the needs of minority populations. As part of this charge, CMS OMH gathers and shares knowledge and data on health care quality, access, and costs related to minority populations. </w:t>
      </w:r>
    </w:p>
    <w:p w:rsidR="002A37BA" w:rsidP="002A37BA" w:rsidRDefault="002A37BA" w14:paraId="6E237108" w14:textId="6F3A2D61">
      <w:pPr>
        <w:pStyle w:val="BodyText"/>
      </w:pPr>
      <w:r>
        <w:t>The proposed generic umbrella data collection system, t</w:t>
      </w:r>
      <w:r w:rsidRPr="00AF750F">
        <w:t>he Medicare Beneficiary Exper</w:t>
      </w:r>
      <w:r>
        <w:t xml:space="preserve">iences with Care Survey System (MBECS System) will use an expanded </w:t>
      </w:r>
      <w:r w:rsidRPr="00103642">
        <w:t>Consumer Assessment of Healthcare Providers and Systems (CAHPS®)</w:t>
      </w:r>
      <w:r>
        <w:t xml:space="preserve"> methodology as a standardized data collection vehicle for Medicare beneficiaries in minority populations. First, CMS OMH will develop a survey, which includes a “core” set of existing CAHPS questionnaire items. The outreach method, modes of administration, and data collection protocols will be identical across survey populations. When a specific population of interest is identified, CMS OMH will then submit an individual collections request to OMB, including a revised research and sampling plan with changes relating to the specific population of interest. These individual submissions will include the core CAHPS questionnaire plus a brief population-specific module. The brief module will include population-specific questions pulled from Federal surveys relevant to the minority population, for example: </w:t>
      </w:r>
      <w:proofErr w:type="gramStart"/>
      <w:r>
        <w:t>the</w:t>
      </w:r>
      <w:proofErr w:type="gramEnd"/>
      <w:r>
        <w:t xml:space="preserve"> National Health Interview Survey (NHIS), the Medicare Current Beneficiary Survey (MCBS), or the Current Population Survey (CPS). CMS OMH will also provide updated respondent materials with wording adjusted for that particular population. Each survey submitted as an individual collections request will focus on one minority group; different minority groups of interest will not be surveyed at the same time or be administered the same population-specific module. </w:t>
      </w:r>
    </w:p>
    <w:p w:rsidR="00BE40D8" w:rsidP="00BE40D8" w:rsidRDefault="00BE40D8" w14:paraId="5203A3E8" w14:textId="3E368960">
      <w:pPr>
        <w:pStyle w:val="BodyText"/>
      </w:pPr>
      <w:r w:rsidRPr="00BE40D8">
        <w:t>Our sampling frame will be created from the CMS universe, identifying individuals in the universe who meet our criteria for eligibility within the given survey</w:t>
      </w:r>
      <w:r>
        <w:t>. Ultimately, Medicaid beneficiaries will be the broader universe from which the sampling frame is created.</w:t>
      </w:r>
    </w:p>
    <w:p w:rsidR="00BE40D8" w:rsidP="00BE40D8" w:rsidRDefault="00BE40D8" w14:paraId="70B3E42E" w14:textId="77777777">
      <w:pPr>
        <w:pStyle w:val="BodyText"/>
      </w:pPr>
      <w:r>
        <w:t>CMS OMH Priority Populations of Interest are:</w:t>
      </w:r>
    </w:p>
    <w:p w:rsidR="0027791A" w:rsidP="003109B5" w:rsidRDefault="00BE40D8" w14:paraId="4C879EEC" w14:textId="77777777">
      <w:pPr>
        <w:pStyle w:val="BodyText"/>
        <w:numPr>
          <w:ilvl w:val="0"/>
          <w:numId w:val="23"/>
        </w:numPr>
      </w:pPr>
      <w:r>
        <w:t>Living in rural areas.</w:t>
      </w:r>
    </w:p>
    <w:p w:rsidR="00BE40D8" w:rsidP="003109B5" w:rsidRDefault="00BE40D8" w14:paraId="49C8E950" w14:textId="577C098F">
      <w:pPr>
        <w:pStyle w:val="BodyText"/>
        <w:numPr>
          <w:ilvl w:val="0"/>
          <w:numId w:val="23"/>
        </w:numPr>
      </w:pPr>
      <w:r>
        <w:t>Mentally ill or suffering from substance abuse.</w:t>
      </w:r>
    </w:p>
    <w:p w:rsidR="00BE40D8" w:rsidP="003109B5" w:rsidRDefault="00BE40D8" w14:paraId="3BAB75D5" w14:textId="09E893C3">
      <w:pPr>
        <w:pStyle w:val="BodyText"/>
        <w:numPr>
          <w:ilvl w:val="0"/>
          <w:numId w:val="23"/>
        </w:numPr>
      </w:pPr>
      <w:r>
        <w:t>Racial and/or ethnic minorities.</w:t>
      </w:r>
    </w:p>
    <w:p w:rsidR="00BE40D8" w:rsidP="003109B5" w:rsidRDefault="00BE40D8" w14:paraId="25EBCE36" w14:textId="3BD44911">
      <w:pPr>
        <w:pStyle w:val="BodyText"/>
        <w:numPr>
          <w:ilvl w:val="0"/>
          <w:numId w:val="23"/>
        </w:numPr>
      </w:pPr>
      <w:r>
        <w:t>Physically, intellectually, or developmentally disabled.</w:t>
      </w:r>
    </w:p>
    <w:p w:rsidR="002A37BA" w:rsidP="002A37BA" w:rsidRDefault="002A37BA" w14:paraId="3BE20688" w14:textId="79AA4D3D">
      <w:pPr>
        <w:pStyle w:val="BodyText"/>
      </w:pPr>
      <w:r>
        <w:t xml:space="preserve">Key to the success of collecting data from minority groups is a sampling plan that ensures adequate representation of the target population in the final analytic sample. </w:t>
      </w:r>
      <w:r w:rsidRPr="00E45058">
        <w:t xml:space="preserve">CMS OMH </w:t>
      </w:r>
      <w:r>
        <w:t>proposes building the</w:t>
      </w:r>
      <w:r w:rsidRPr="00E45058">
        <w:t xml:space="preserve"> MBECS </w:t>
      </w:r>
      <w:r>
        <w:t>data collection system by</w:t>
      </w:r>
      <w:r w:rsidRPr="00E45058">
        <w:t xml:space="preserve"> </w:t>
      </w:r>
      <w:r>
        <w:t xml:space="preserve">capitalizing on three main sources. These include: existing beneficiary characteristic flags within the </w:t>
      </w:r>
      <w:r w:rsidRPr="007011B9">
        <w:t>CMS V</w:t>
      </w:r>
      <w:r>
        <w:t xml:space="preserve">irtual </w:t>
      </w:r>
      <w:r w:rsidRPr="007011B9">
        <w:t>R</w:t>
      </w:r>
      <w:r>
        <w:t xml:space="preserve">esearch </w:t>
      </w:r>
      <w:r w:rsidRPr="007011B9">
        <w:t>D</w:t>
      </w:r>
      <w:r>
        <w:t xml:space="preserve">ata </w:t>
      </w:r>
      <w:r w:rsidRPr="007011B9">
        <w:t>C</w:t>
      </w:r>
      <w:r>
        <w:t xml:space="preserve">enter (also known as the Chronic Conditions Warehouse, or CCW), International Classification </w:t>
      </w:r>
      <w:r>
        <w:lastRenderedPageBreak/>
        <w:t xml:space="preserve">of Diseases – Tenth Addition (ICD-10) codes from CMS’ Medicare-Fee-For-Service (FFS) “final action” claims from institutional and non-institutional providers, and algorithms that leverage these data sources to identify beneficiaries who are likely in the population of interest. The </w:t>
      </w:r>
      <w:r>
        <w:rPr>
          <w:i/>
        </w:rPr>
        <w:t>a priori</w:t>
      </w:r>
      <w:r>
        <w:t xml:space="preserve"> identification of beneficiaries likely to be in the population of interest will enable CMS OMH to target individual data collection efforts to the intended population and thus ensure adequate representation in the sample. The alternative approach–screening a general population of beneficiaries in order to identify minority population—would duplicate some existing data collection efforts and is cost prohibitive. </w:t>
      </w:r>
    </w:p>
    <w:p w:rsidR="00BE40D8" w:rsidP="00BE40D8" w:rsidRDefault="00BE40D8" w14:paraId="7641C420" w14:textId="77777777">
      <w:pPr>
        <w:pStyle w:val="BodyText"/>
      </w:pPr>
      <w:r>
        <w:t>CMS OMH will use the following fairness and transparency criteria, distinguishing our approach to solve the need of a better and more accurate measures of these specific populations we guard:</w:t>
      </w:r>
    </w:p>
    <w:p w:rsidR="00BE40D8" w:rsidP="003109B5" w:rsidRDefault="00BE40D8" w14:paraId="540E0452" w14:textId="21CF7BA8">
      <w:pPr>
        <w:pStyle w:val="BodyText"/>
        <w:numPr>
          <w:ilvl w:val="0"/>
          <w:numId w:val="22"/>
        </w:numPr>
      </w:pPr>
      <w:r>
        <w:t>Overall accuracy equality by having a good data source</w:t>
      </w:r>
    </w:p>
    <w:p w:rsidR="00BE40D8" w:rsidP="003109B5" w:rsidRDefault="00BE40D8" w14:paraId="38C8B201" w14:textId="2FC79DBF">
      <w:pPr>
        <w:pStyle w:val="BodyText"/>
        <w:numPr>
          <w:ilvl w:val="0"/>
          <w:numId w:val="22"/>
        </w:numPr>
      </w:pPr>
      <w:r>
        <w:t>Statistical parity in the methodology we had stablished and that we will share.</w:t>
      </w:r>
    </w:p>
    <w:p w:rsidRPr="00E45058" w:rsidR="00BE40D8" w:rsidP="003109B5" w:rsidRDefault="00BE40D8" w14:paraId="15621772" w14:textId="3D3801C7">
      <w:pPr>
        <w:pStyle w:val="BodyText"/>
        <w:numPr>
          <w:ilvl w:val="0"/>
          <w:numId w:val="22"/>
        </w:numPr>
      </w:pPr>
      <w:r>
        <w:t>Treatment, but also guarding the privacy of our beneficiaries. The report of methodology will be publicly available.</w:t>
      </w:r>
    </w:p>
    <w:p w:rsidR="00744A77" w:rsidP="00744A77" w:rsidRDefault="00744A77" w14:paraId="7F07AD75" w14:textId="77777777">
      <w:pPr>
        <w:pStyle w:val="BodyText"/>
      </w:pPr>
      <w:r>
        <w:rPr>
          <w:bCs/>
          <w:iCs/>
        </w:rPr>
        <w:t xml:space="preserve">To achieve the goals of the </w:t>
      </w:r>
      <w:r>
        <w:rPr>
          <w:bCs/>
        </w:rPr>
        <w:t>MBECS system,</w:t>
      </w:r>
      <w:r>
        <w:t xml:space="preserve"> CMS OMH will identify Medicare beneficiaries in priority minority populations of interest </w:t>
      </w:r>
      <w:r w:rsidRPr="00E45058">
        <w:t xml:space="preserve">through </w:t>
      </w:r>
      <w:r>
        <w:t xml:space="preserve">review of administrative </w:t>
      </w:r>
      <w:r w:rsidRPr="00E45058">
        <w:t>data</w:t>
      </w:r>
      <w:r>
        <w:t xml:space="preserve"> and conduct data collection via a sequential multi-mode (web, mail, and telephone) survey that includes the module specific to one group of interest</w:t>
      </w:r>
      <w:r w:rsidRPr="00E45058">
        <w:t xml:space="preserve">. </w:t>
      </w:r>
      <w:r>
        <w:t xml:space="preserve">CMS OMH will conduct up to three separate MBECS surveys over the course of this 3-year clearance. The groups considered to be priority minority populations for CMS OMH are </w:t>
      </w:r>
      <w:r w:rsidRPr="00CD2D6F">
        <w:t>Medicare populations that experience disproportionately high burdens of disease, worse quality of care, and barriers to accessing care. For CMS, these populations include</w:t>
      </w:r>
      <w:r>
        <w:t xml:space="preserve"> but are not limited to, </w:t>
      </w:r>
      <w:r w:rsidRPr="00CD2D6F">
        <w:t xml:space="preserve">persons with </w:t>
      </w:r>
      <w:r>
        <w:t xml:space="preserve">intellectual or developmental </w:t>
      </w:r>
      <w:r w:rsidRPr="00CD2D6F">
        <w:t>disabilities</w:t>
      </w:r>
      <w:r>
        <w:t>, persons with mental illness, or persons with substance abuse disorders. Thus, candidates for survey through the MBECS umbrella system include beneficiaries who are:</w:t>
      </w:r>
    </w:p>
    <w:p w:rsidRPr="00A21201" w:rsidR="00744A77" w:rsidP="00744A77" w:rsidRDefault="00744A77" w14:paraId="64965E55" w14:textId="77777777">
      <w:pPr>
        <w:pStyle w:val="BulletLevel1"/>
      </w:pPr>
      <w:r>
        <w:t>diagnos</w:t>
      </w:r>
      <w:r w:rsidRPr="00A21201">
        <w:t xml:space="preserve">ed with severe mental illness and/or intellectual or developmental disability </w:t>
      </w:r>
    </w:p>
    <w:p w:rsidRPr="002847B2" w:rsidR="00744A77" w:rsidP="00744A77" w:rsidRDefault="00744A77" w14:paraId="77ADD464" w14:textId="77777777">
      <w:pPr>
        <w:pStyle w:val="BulletLevel1"/>
      </w:pPr>
      <w:r w:rsidRPr="00A21201">
        <w:t>diagnosed wit</w:t>
      </w:r>
      <w:r>
        <w:t>h substance use disorder</w:t>
      </w:r>
    </w:p>
    <w:p w:rsidR="00744A77" w:rsidP="00744A77" w:rsidRDefault="00744A77" w14:paraId="62BA07A6" w14:textId="77777777">
      <w:pPr>
        <w:pStyle w:val="BodyText"/>
      </w:pPr>
      <w:r>
        <w:t xml:space="preserve">Subpopulations of interest within these two key groups include Hispanic, Non-Hispanic Black or African American, and </w:t>
      </w:r>
      <w:r w:rsidRPr="00BD52A9">
        <w:t>Non-Hispanic Other, including White beneficiaries. Additional demographic comparisons (e.g., rural vs. urban, age group comparison, race/ethnicity comparisons) can be made to benchmark estimates for the population of interest, where possible.</w:t>
      </w:r>
    </w:p>
    <w:p w:rsidR="00B86690" w:rsidP="00CB56E2" w:rsidRDefault="00744A77" w14:paraId="6495502F" w14:textId="442BB825">
      <w:pPr>
        <w:pStyle w:val="BodyText"/>
      </w:pPr>
      <w:r w:rsidRPr="00103642">
        <w:t xml:space="preserve">CAHPS surveys ask </w:t>
      </w:r>
      <w:r>
        <w:t xml:space="preserve">health care </w:t>
      </w:r>
      <w:r w:rsidRPr="00103642">
        <w:t>consumers and patients to report on and evaluate their experiences with health care. These surveys</w:t>
      </w:r>
      <w:r>
        <w:t>, developed by the Agency for Healthcare Research and Quality (AHRQ),</w:t>
      </w:r>
      <w:r w:rsidRPr="00103642">
        <w:t xml:space="preserve"> cover topics that are important to </w:t>
      </w:r>
      <w:r>
        <w:t xml:space="preserve">health care </w:t>
      </w:r>
      <w:r w:rsidRPr="00103642">
        <w:t xml:space="preserve">consumers </w:t>
      </w:r>
      <w:r>
        <w:t xml:space="preserve">and patients </w:t>
      </w:r>
      <w:r w:rsidRPr="00103642">
        <w:t xml:space="preserve">and focus on aspects of quality that </w:t>
      </w:r>
      <w:r>
        <w:t>they</w:t>
      </w:r>
      <w:r w:rsidRPr="00103642">
        <w:t xml:space="preserve"> are best qualified to assess, such as the communication skills of provide</w:t>
      </w:r>
      <w:r>
        <w:t xml:space="preserve">rs and ease of access to health </w:t>
      </w:r>
      <w:r w:rsidRPr="00103642">
        <w:t xml:space="preserve">care services. </w:t>
      </w:r>
      <w:r>
        <w:t>The M</w:t>
      </w:r>
      <w:r w:rsidRPr="00101FF1">
        <w:t xml:space="preserve">BECS </w:t>
      </w:r>
      <w:r>
        <w:t>core questionnaire (see Attachment A) administered to every group of interest includes</w:t>
      </w:r>
      <w:r w:rsidRPr="00101FF1">
        <w:t xml:space="preserve"> </w:t>
      </w:r>
      <w:r>
        <w:t>items from the</w:t>
      </w:r>
      <w:r w:rsidRPr="00101FF1">
        <w:t xml:space="preserve"> </w:t>
      </w:r>
      <w:r>
        <w:t xml:space="preserve">2016 (or most current) </w:t>
      </w:r>
      <w:r w:rsidRPr="00101FF1">
        <w:t xml:space="preserve">CAHPS </w:t>
      </w:r>
      <w:r>
        <w:t xml:space="preserve">survey of the Medicare Fee-for-Service population (FFS CAHPS), the 2016 (or most current) Medicare Advantage and Prescription Drug Plan CAHPS (MA CAHPS) </w:t>
      </w:r>
      <w:r w:rsidRPr="00101FF1">
        <w:t>questionnaire</w:t>
      </w:r>
      <w:r>
        <w:t xml:space="preserve">, and the 2014-2015 Nationwide Adult Medicaid CAHPS (NAM CAHPS) </w:t>
      </w:r>
      <w:r>
        <w:lastRenderedPageBreak/>
        <w:t xml:space="preserve">questionnaire. Some demographic items are included in order to align with HHS implementation guidance related to the </w:t>
      </w:r>
      <w:r w:rsidRPr="00674CB4">
        <w:t xml:space="preserve">Public Health Service Act </w:t>
      </w:r>
      <w:r>
        <w:t>(</w:t>
      </w:r>
      <w:r w:rsidRPr="00674CB4">
        <w:t xml:space="preserve">42 </w:t>
      </w:r>
      <w:r>
        <w:t xml:space="preserve">U. S. C.). Specifically, the demographic items were expanded to align with HHS guidance, and items related to disability and limited English proficiency are included. As the CAHPS questionnaires noted above are updated, CMS OMH will update the MBECS core questions, using CAHPS as a benchmark. </w:t>
      </w:r>
      <w:r w:rsidRPr="00101FF1">
        <w:t xml:space="preserve">The </w:t>
      </w:r>
      <w:r>
        <w:t>data collection activities proposed for the M</w:t>
      </w:r>
      <w:r w:rsidRPr="00101FF1">
        <w:t xml:space="preserve">BECS </w:t>
      </w:r>
      <w:r>
        <w:t>umbrella system</w:t>
      </w:r>
      <w:r w:rsidRPr="00101FF1">
        <w:t xml:space="preserve"> </w:t>
      </w:r>
      <w:r>
        <w:t xml:space="preserve">and individual surveys will align closely with CAHPS methodology, using </w:t>
      </w:r>
      <w:r w:rsidRPr="00101FF1">
        <w:t xml:space="preserve">a </w:t>
      </w:r>
      <w:r>
        <w:t xml:space="preserve">sequential </w:t>
      </w:r>
      <w:r w:rsidRPr="00101FF1">
        <w:t>multi-mode (</w:t>
      </w:r>
      <w:r>
        <w:t xml:space="preserve">web, </w:t>
      </w:r>
      <w:r w:rsidRPr="00101FF1">
        <w:t>mail</w:t>
      </w:r>
      <w:r>
        <w:t>,</w:t>
      </w:r>
      <w:r w:rsidRPr="00101FF1">
        <w:t xml:space="preserve"> and telephone) </w:t>
      </w:r>
      <w:r>
        <w:t xml:space="preserve">approach. Data analysis of each individual survey will include comparison of MBECS survey estimates against FFA, MA, and NAM CAHPS benchmarks and/or other source surveys for the population-specific module questions. </w:t>
      </w:r>
    </w:p>
    <w:p w:rsidRPr="00E45058" w:rsidR="00C5606C" w:rsidP="00C5606C" w:rsidRDefault="00C5606C" w14:paraId="18DBAAC3" w14:textId="77777777">
      <w:pPr>
        <w:pStyle w:val="BodyText"/>
      </w:pPr>
      <w:r w:rsidRPr="00E45058">
        <w:t xml:space="preserve">The goal of this </w:t>
      </w:r>
      <w:r>
        <w:t xml:space="preserve">umbrella </w:t>
      </w:r>
      <w:r w:rsidRPr="00E45058">
        <w:t xml:space="preserve">data collection effort </w:t>
      </w:r>
      <w:r>
        <w:t>is</w:t>
      </w:r>
      <w:r w:rsidRPr="00E45058">
        <w:t xml:space="preserve"> to</w:t>
      </w:r>
      <w:r>
        <w:t xml:space="preserve"> g</w:t>
      </w:r>
      <w:r w:rsidRPr="00E45058">
        <w:t xml:space="preserve">ather data </w:t>
      </w:r>
      <w:r>
        <w:t>via surveys from different</w:t>
      </w:r>
      <w:r w:rsidRPr="00E45058">
        <w:t xml:space="preserve"> </w:t>
      </w:r>
      <w:r>
        <w:t>minority populations to better understand</w:t>
      </w:r>
      <w:r w:rsidRPr="00E45058">
        <w:t xml:space="preserve"> Medicare beneficiaries</w:t>
      </w:r>
      <w:r>
        <w:t xml:space="preserve">’ experiences. Topics and questions of interest may ask about beneficiaries’ </w:t>
      </w:r>
      <w:r w:rsidRPr="00D33285">
        <w:t>communication</w:t>
      </w:r>
      <w:r>
        <w:t xml:space="preserve"> with medical professionals</w:t>
      </w:r>
      <w:r w:rsidRPr="00D33285">
        <w:t xml:space="preserve">, coordination of </w:t>
      </w:r>
      <w:r>
        <w:t xml:space="preserve">health </w:t>
      </w:r>
      <w:r w:rsidRPr="00D33285">
        <w:t xml:space="preserve">care, experiences getting needed health care, </w:t>
      </w:r>
      <w:r>
        <w:t xml:space="preserve">and </w:t>
      </w:r>
      <w:r w:rsidRPr="00D33285">
        <w:t xml:space="preserve">experiences with personal </w:t>
      </w:r>
      <w:r>
        <w:t xml:space="preserve">health care providers </w:t>
      </w:r>
      <w:r w:rsidRPr="00D33285">
        <w:t>and specialists</w:t>
      </w:r>
      <w:r>
        <w:t>. CMS OMH will compare survey data to</w:t>
      </w:r>
      <w:r w:rsidRPr="00E45058">
        <w:t xml:space="preserve"> benchmarks from the general population of Medicare beneficiaries</w:t>
      </w:r>
      <w:r>
        <w:t xml:space="preserve"> while controlling for population characteristics, as appropriate</w:t>
      </w:r>
      <w:r w:rsidRPr="00E45058">
        <w:t>.</w:t>
      </w:r>
      <w:r>
        <w:t xml:space="preserve"> The target population(s) of interest will be determined prior to each survey development and deployment. Key measures and established benchmarks will be determined based on the population(s) of interest; survey respondent data will then be compared to benchmarks from the general population of Medicare beneficiaries. </w:t>
      </w:r>
    </w:p>
    <w:p w:rsidR="00C5606C" w:rsidP="00CB56E2" w:rsidRDefault="00C5606C" w14:paraId="5C443F9A" w14:textId="77777777">
      <w:pPr>
        <w:pStyle w:val="BodyText"/>
      </w:pPr>
    </w:p>
    <w:p w:rsidRPr="006014DB" w:rsidR="009B633D" w:rsidP="002D4D3A" w:rsidRDefault="00B86690" w14:paraId="22EB6615" w14:textId="6EB76E09">
      <w:pPr>
        <w:pStyle w:val="StyleHeading112pt"/>
      </w:pPr>
      <w:bookmarkStart w:name="_Toc82433686" w:id="8"/>
      <w:r>
        <w:t>B</w:t>
      </w:r>
      <w:r w:rsidRPr="006014DB" w:rsidR="009B633D">
        <w:t>. Justification</w:t>
      </w:r>
      <w:bookmarkEnd w:id="5"/>
      <w:bookmarkEnd w:id="6"/>
      <w:bookmarkEnd w:id="8"/>
    </w:p>
    <w:p w:rsidR="009B633D" w:rsidP="00A21201" w:rsidRDefault="009B633D" w14:paraId="1D85164E" w14:textId="77777777">
      <w:pPr>
        <w:pStyle w:val="Heading2"/>
      </w:pPr>
      <w:bookmarkStart w:name="_Toc151782176" w:id="9"/>
      <w:bookmarkStart w:name="_Toc158526216" w:id="10"/>
      <w:bookmarkStart w:name="_Toc82433687" w:id="11"/>
      <w:r w:rsidRPr="006014DB">
        <w:t xml:space="preserve">1. </w:t>
      </w:r>
      <w:bookmarkEnd w:id="9"/>
      <w:bookmarkEnd w:id="10"/>
      <w:r w:rsidRPr="006014DB" w:rsidR="006014DB">
        <w:t>Circumstances that make the collection of information necessary</w:t>
      </w:r>
      <w:bookmarkEnd w:id="11"/>
    </w:p>
    <w:p w:rsidRPr="00DD23CE" w:rsidR="00DD23CE" w:rsidP="00DD23CE" w:rsidRDefault="00E45058" w14:paraId="2DD68A58" w14:textId="12D5F6B4">
      <w:pPr>
        <w:pStyle w:val="CommentText"/>
        <w:rPr>
          <w:sz w:val="24"/>
          <w:szCs w:val="24"/>
        </w:rPr>
      </w:pPr>
      <w:r w:rsidRPr="00CB56E2">
        <w:rPr>
          <w:sz w:val="24"/>
          <w:szCs w:val="24"/>
        </w:rPr>
        <w:t xml:space="preserve">CMS’s Quality Strategy highlights the agency’s commitment to working towards </w:t>
      </w:r>
      <w:r w:rsidRPr="00CB56E2" w:rsidR="005C37B1">
        <w:rPr>
          <w:sz w:val="24"/>
          <w:szCs w:val="24"/>
        </w:rPr>
        <w:t xml:space="preserve">Health and Human </w:t>
      </w:r>
      <w:r w:rsidRPr="00CB56E2" w:rsidR="00B90BEB">
        <w:rPr>
          <w:sz w:val="24"/>
          <w:szCs w:val="24"/>
        </w:rPr>
        <w:t>Services</w:t>
      </w:r>
      <w:r w:rsidRPr="00CB56E2" w:rsidR="005C37B1">
        <w:rPr>
          <w:sz w:val="24"/>
          <w:szCs w:val="24"/>
        </w:rPr>
        <w:t xml:space="preserve"> (</w:t>
      </w:r>
      <w:r w:rsidRPr="00CB56E2">
        <w:rPr>
          <w:sz w:val="24"/>
          <w:szCs w:val="24"/>
        </w:rPr>
        <w:t>HHS</w:t>
      </w:r>
      <w:r w:rsidRPr="00CB56E2" w:rsidR="005C37B1">
        <w:rPr>
          <w:sz w:val="24"/>
          <w:szCs w:val="24"/>
        </w:rPr>
        <w:t>)</w:t>
      </w:r>
      <w:r w:rsidRPr="00CB56E2">
        <w:rPr>
          <w:sz w:val="24"/>
          <w:szCs w:val="24"/>
        </w:rPr>
        <w:t xml:space="preserve"> goal of eliminating health disparities in the United States. Although defined differently depending on the context, health disparities generally refer to systematic differences in health outcomes and quality of health</w:t>
      </w:r>
      <w:r w:rsidRPr="00CB56E2" w:rsidR="00910788">
        <w:rPr>
          <w:sz w:val="24"/>
          <w:szCs w:val="24"/>
        </w:rPr>
        <w:t xml:space="preserve"> </w:t>
      </w:r>
      <w:r w:rsidRPr="00CB56E2">
        <w:rPr>
          <w:sz w:val="24"/>
          <w:szCs w:val="24"/>
        </w:rPr>
        <w:t>care experienced by specific minority groups</w:t>
      </w:r>
      <w:r w:rsidRPr="00CB56E2" w:rsidR="00245A01">
        <w:rPr>
          <w:sz w:val="24"/>
          <w:szCs w:val="24"/>
        </w:rPr>
        <w:t>.</w:t>
      </w:r>
      <w:r w:rsidRPr="00CB56E2" w:rsidR="0051153B">
        <w:rPr>
          <w:sz w:val="24"/>
          <w:szCs w:val="24"/>
        </w:rPr>
        <w:t xml:space="preserve"> </w:t>
      </w:r>
      <w:r w:rsidRPr="00CB56E2" w:rsidR="00245A01">
        <w:rPr>
          <w:sz w:val="24"/>
          <w:szCs w:val="24"/>
        </w:rPr>
        <w:t xml:space="preserve">Due </w:t>
      </w:r>
      <w:r w:rsidRPr="00CB56E2" w:rsidR="00AF750F">
        <w:rPr>
          <w:sz w:val="24"/>
          <w:szCs w:val="24"/>
        </w:rPr>
        <w:t xml:space="preserve">to the relative size </w:t>
      </w:r>
      <w:r w:rsidRPr="00CB56E2" w:rsidR="004757E3">
        <w:rPr>
          <w:sz w:val="24"/>
          <w:szCs w:val="24"/>
        </w:rPr>
        <w:t xml:space="preserve">and, </w:t>
      </w:r>
      <w:r w:rsidRPr="00CB56E2" w:rsidR="00AF750F">
        <w:rPr>
          <w:sz w:val="24"/>
          <w:szCs w:val="24"/>
        </w:rPr>
        <w:t>in some cases</w:t>
      </w:r>
      <w:r w:rsidRPr="00CB56E2" w:rsidR="004757E3">
        <w:rPr>
          <w:sz w:val="24"/>
          <w:szCs w:val="24"/>
        </w:rPr>
        <w:t xml:space="preserve">, </w:t>
      </w:r>
      <w:r w:rsidRPr="00CB56E2" w:rsidR="00450F90">
        <w:rPr>
          <w:sz w:val="24"/>
          <w:szCs w:val="24"/>
        </w:rPr>
        <w:t xml:space="preserve">the unique characteristics of </w:t>
      </w:r>
      <w:r w:rsidRPr="00CB56E2" w:rsidR="005744C2">
        <w:rPr>
          <w:sz w:val="24"/>
          <w:szCs w:val="24"/>
        </w:rPr>
        <w:t>minority</w:t>
      </w:r>
      <w:r w:rsidRPr="00CB56E2" w:rsidR="00245A01">
        <w:rPr>
          <w:sz w:val="24"/>
          <w:szCs w:val="24"/>
        </w:rPr>
        <w:t xml:space="preserve"> population</w:t>
      </w:r>
      <w:r w:rsidRPr="00CB56E2" w:rsidR="00AF750F">
        <w:rPr>
          <w:sz w:val="24"/>
          <w:szCs w:val="24"/>
        </w:rPr>
        <w:t>s</w:t>
      </w:r>
      <w:r w:rsidRPr="00CB56E2" w:rsidR="004757E3">
        <w:rPr>
          <w:sz w:val="24"/>
          <w:szCs w:val="24"/>
        </w:rPr>
        <w:t>,</w:t>
      </w:r>
      <w:r w:rsidRPr="00CB56E2" w:rsidR="00450F90">
        <w:rPr>
          <w:sz w:val="24"/>
          <w:szCs w:val="24"/>
        </w:rPr>
        <w:t xml:space="preserve"> </w:t>
      </w:r>
      <w:r w:rsidRPr="00CB56E2" w:rsidR="004757E3">
        <w:rPr>
          <w:sz w:val="24"/>
          <w:szCs w:val="24"/>
        </w:rPr>
        <w:t xml:space="preserve">national </w:t>
      </w:r>
      <w:r w:rsidRPr="00CB56E2" w:rsidR="00AF750F">
        <w:rPr>
          <w:sz w:val="24"/>
          <w:szCs w:val="24"/>
        </w:rPr>
        <w:t xml:space="preserve">general population data collection efforts often do not </w:t>
      </w:r>
      <w:r w:rsidRPr="00CB56E2" w:rsidR="004757E3">
        <w:rPr>
          <w:sz w:val="24"/>
          <w:szCs w:val="24"/>
        </w:rPr>
        <w:t>include</w:t>
      </w:r>
      <w:r w:rsidRPr="00CB56E2" w:rsidR="00AF750F">
        <w:rPr>
          <w:sz w:val="24"/>
          <w:szCs w:val="24"/>
        </w:rPr>
        <w:t xml:space="preserve"> adequate representation of </w:t>
      </w:r>
      <w:r w:rsidRPr="00CB56E2" w:rsidR="004757E3">
        <w:rPr>
          <w:sz w:val="24"/>
          <w:szCs w:val="24"/>
        </w:rPr>
        <w:t xml:space="preserve">minority </w:t>
      </w:r>
      <w:r w:rsidRPr="00CB56E2" w:rsidR="00AF750F">
        <w:rPr>
          <w:sz w:val="24"/>
          <w:szCs w:val="24"/>
        </w:rPr>
        <w:t>populations</w:t>
      </w:r>
      <w:r w:rsidRPr="00CB56E2" w:rsidR="004757E3">
        <w:rPr>
          <w:sz w:val="24"/>
          <w:szCs w:val="24"/>
        </w:rPr>
        <w:t xml:space="preserve"> because they do not </w:t>
      </w:r>
      <w:r w:rsidRPr="00CB56E2" w:rsidR="005B6217">
        <w:rPr>
          <w:sz w:val="24"/>
          <w:szCs w:val="24"/>
        </w:rPr>
        <w:t>contain a sufficiently large sample of</w:t>
      </w:r>
      <w:r w:rsidRPr="00CB56E2" w:rsidR="004757E3">
        <w:rPr>
          <w:sz w:val="24"/>
          <w:szCs w:val="24"/>
        </w:rPr>
        <w:t xml:space="preserve"> the relevant minority groups</w:t>
      </w:r>
      <w:r w:rsidRPr="00DD23CE" w:rsidR="004757E3">
        <w:rPr>
          <w:sz w:val="24"/>
          <w:szCs w:val="24"/>
        </w:rPr>
        <w:t xml:space="preserve">; this makes subgroup analyses challenging, if not impossible. </w:t>
      </w:r>
      <w:r w:rsidR="00DD23CE">
        <w:rPr>
          <w:sz w:val="24"/>
          <w:szCs w:val="24"/>
        </w:rPr>
        <w:t>This is because i</w:t>
      </w:r>
      <w:r w:rsidRPr="00DD23CE" w:rsidR="00DD23CE">
        <w:rPr>
          <w:sz w:val="24"/>
          <w:szCs w:val="24"/>
        </w:rPr>
        <w:t xml:space="preserve">n many cases, </w:t>
      </w:r>
      <w:r w:rsidR="00DD23CE">
        <w:rPr>
          <w:sz w:val="24"/>
          <w:szCs w:val="24"/>
        </w:rPr>
        <w:t>these</w:t>
      </w:r>
      <w:r w:rsidRPr="00DD23CE" w:rsidR="00DD23CE">
        <w:rPr>
          <w:sz w:val="24"/>
          <w:szCs w:val="24"/>
        </w:rPr>
        <w:t xml:space="preserve"> populations are considered rare</w:t>
      </w:r>
      <w:r w:rsidR="00DD23CE">
        <w:rPr>
          <w:sz w:val="24"/>
          <w:szCs w:val="24"/>
        </w:rPr>
        <w:t xml:space="preserve"> or</w:t>
      </w:r>
      <w:r w:rsidRPr="00DD23CE" w:rsidR="00DD23CE">
        <w:rPr>
          <w:sz w:val="24"/>
          <w:szCs w:val="24"/>
        </w:rPr>
        <w:t xml:space="preserve"> very rare, populations. </w:t>
      </w:r>
      <w:r w:rsidR="00DD23CE">
        <w:rPr>
          <w:sz w:val="24"/>
          <w:szCs w:val="24"/>
        </w:rPr>
        <w:t>Even</w:t>
      </w:r>
      <w:r w:rsidRPr="00DD23CE" w:rsidR="00DD23CE">
        <w:rPr>
          <w:sz w:val="24"/>
          <w:szCs w:val="24"/>
        </w:rPr>
        <w:t xml:space="preserve"> if there are sufficient numbers within a general survey for point estimates overall, it is not sufficient to do any further breakdown comparisons within that group</w:t>
      </w:r>
      <w:r w:rsidR="00DD23CE">
        <w:rPr>
          <w:sz w:val="24"/>
          <w:szCs w:val="24"/>
        </w:rPr>
        <w:t xml:space="preserve">. For example, </w:t>
      </w:r>
      <w:r w:rsidRPr="00DD23CE" w:rsidR="00DD23CE">
        <w:rPr>
          <w:sz w:val="24"/>
          <w:szCs w:val="24"/>
        </w:rPr>
        <w:t xml:space="preserve">even if </w:t>
      </w:r>
      <w:r w:rsidR="00DD23CE">
        <w:rPr>
          <w:sz w:val="24"/>
          <w:szCs w:val="24"/>
        </w:rPr>
        <w:t>one</w:t>
      </w:r>
      <w:r w:rsidRPr="00DD23CE" w:rsidR="00DD23CE">
        <w:rPr>
          <w:sz w:val="24"/>
          <w:szCs w:val="24"/>
        </w:rPr>
        <w:t xml:space="preserve"> can make a generalized statement about those with a given condition, there are typically insufficient numbers to do comparisons within the group of interest (e.g., minority experience getting mental health care versus </w:t>
      </w:r>
      <w:r w:rsidR="00DD23CE">
        <w:rPr>
          <w:sz w:val="24"/>
          <w:szCs w:val="24"/>
        </w:rPr>
        <w:t>non-Hispanic</w:t>
      </w:r>
      <w:r w:rsidRPr="00DD23CE" w:rsidR="00DD23CE">
        <w:rPr>
          <w:sz w:val="24"/>
          <w:szCs w:val="24"/>
        </w:rPr>
        <w:t xml:space="preserve"> White).</w:t>
      </w:r>
    </w:p>
    <w:p w:rsidR="004757E3" w:rsidP="002D4D3A" w:rsidRDefault="004757E3" w14:paraId="33FE3FD4" w14:textId="1A860EBD">
      <w:pPr>
        <w:pStyle w:val="BodyText"/>
      </w:pPr>
      <w:r>
        <w:t xml:space="preserve">In addition, many national surveys of the general population do not collect data points that would enable researchers to </w:t>
      </w:r>
      <w:r w:rsidR="00AF750F">
        <w:t xml:space="preserve">identify these </w:t>
      </w:r>
      <w:r>
        <w:t xml:space="preserve">minority </w:t>
      </w:r>
      <w:r w:rsidR="00AF750F">
        <w:t>groups</w:t>
      </w:r>
      <w:r w:rsidR="000E0F27">
        <w:t xml:space="preserve"> for analysis</w:t>
      </w:r>
      <w:r>
        <w:t xml:space="preserve"> (for example, </w:t>
      </w:r>
      <w:r w:rsidR="000E0F27">
        <w:t>an indicator of disability or substance abuse that would enable comparison to the general population)</w:t>
      </w:r>
      <w:r w:rsidR="00AF750F">
        <w:t xml:space="preserve">.  </w:t>
      </w:r>
    </w:p>
    <w:p w:rsidR="001D4F7C" w:rsidP="002D4D3A" w:rsidRDefault="00AF750F" w14:paraId="0BFC605A" w14:textId="5EBAE7D3">
      <w:pPr>
        <w:pStyle w:val="BodyText"/>
      </w:pPr>
      <w:r>
        <w:lastRenderedPageBreak/>
        <w:t xml:space="preserve">Thus, </w:t>
      </w:r>
      <w:r w:rsidR="005744C2">
        <w:t>a tailored</w:t>
      </w:r>
      <w:r>
        <w:t xml:space="preserve"> data collection</w:t>
      </w:r>
      <w:r w:rsidR="005744C2">
        <w:t xml:space="preserve"> approach </w:t>
      </w:r>
      <w:r w:rsidR="00C606C3">
        <w:t xml:space="preserve">helps </w:t>
      </w:r>
      <w:r>
        <w:t xml:space="preserve">to understand the experiences of </w:t>
      </w:r>
      <w:r w:rsidR="00AF2094">
        <w:t>minority population</w:t>
      </w:r>
      <w:r>
        <w:t>s</w:t>
      </w:r>
      <w:r w:rsidR="00450F90">
        <w:t xml:space="preserve">. </w:t>
      </w:r>
      <w:r w:rsidR="00AF2094">
        <w:t xml:space="preserve">The proposed </w:t>
      </w:r>
      <w:r>
        <w:t>MBECS System</w:t>
      </w:r>
      <w:r w:rsidR="00AF2094">
        <w:t xml:space="preserve"> </w:t>
      </w:r>
      <w:r>
        <w:t xml:space="preserve">will help address these issues by using </w:t>
      </w:r>
      <w:r w:rsidR="00AF2094">
        <w:t xml:space="preserve">a standardized </w:t>
      </w:r>
      <w:r>
        <w:t>yet flexib</w:t>
      </w:r>
      <w:r w:rsidR="006722F2">
        <w:t>le</w:t>
      </w:r>
      <w:r>
        <w:t xml:space="preserve"> </w:t>
      </w:r>
      <w:r w:rsidR="00AF2094">
        <w:t>methodology that allows for customization</w:t>
      </w:r>
      <w:r>
        <w:t xml:space="preserve"> in approach and content</w:t>
      </w:r>
      <w:r w:rsidR="00AF2094">
        <w:t xml:space="preserve"> based on the particular minority group</w:t>
      </w:r>
      <w:r w:rsidR="00F52FF5">
        <w:t>(s)</w:t>
      </w:r>
      <w:r w:rsidR="00AF2094">
        <w:t xml:space="preserve"> of interest</w:t>
      </w:r>
      <w:r w:rsidR="00450F90">
        <w:t xml:space="preserve">. </w:t>
      </w:r>
      <w:r w:rsidR="00541A96">
        <w:t xml:space="preserve">The </w:t>
      </w:r>
      <w:r w:rsidR="005B6217">
        <w:t>specific</w:t>
      </w:r>
      <w:r w:rsidR="00541A96">
        <w:t xml:space="preserve"> design for each individual survey will be driven by the data, data sources, and location of the data for the population of interest. </w:t>
      </w:r>
    </w:p>
    <w:p w:rsidRPr="00146B3B" w:rsidR="00BE37E3" w:rsidP="00A21201" w:rsidRDefault="00BE37E3" w14:paraId="6CF82D76" w14:textId="4C2A0D51">
      <w:pPr>
        <w:pStyle w:val="Heading2"/>
      </w:pPr>
      <w:bookmarkStart w:name="_Toc151782177" w:id="12"/>
      <w:bookmarkStart w:name="_Toc158526217" w:id="13"/>
      <w:bookmarkStart w:name="_Toc82433688" w:id="14"/>
      <w:r w:rsidRPr="00983636">
        <w:t>2. Purpose and Use of Information</w:t>
      </w:r>
      <w:bookmarkEnd w:id="12"/>
      <w:bookmarkEnd w:id="13"/>
      <w:bookmarkEnd w:id="14"/>
    </w:p>
    <w:p w:rsidR="002A286A" w:rsidP="002A286A" w:rsidRDefault="002A286A" w14:paraId="6AEAE0CC" w14:textId="56ADC7E9">
      <w:pPr>
        <w:pStyle w:val="BodyText"/>
      </w:pPr>
      <w:r w:rsidRPr="00E45058">
        <w:t xml:space="preserve">Data gathered </w:t>
      </w:r>
      <w:r>
        <w:t>through the MBECS</w:t>
      </w:r>
      <w:r w:rsidRPr="00E45058">
        <w:t xml:space="preserve"> </w:t>
      </w:r>
      <w:r>
        <w:t xml:space="preserve">system </w:t>
      </w:r>
      <w:r w:rsidRPr="00E45058">
        <w:t xml:space="preserve">will allow CMS OMH to understand and measure differences in the experiences of </w:t>
      </w:r>
      <w:r>
        <w:t>minority</w:t>
      </w:r>
      <w:r w:rsidRPr="00E45058">
        <w:t xml:space="preserve"> Medicare beneficiaries compared with those of the general Medicare population</w:t>
      </w:r>
      <w:r>
        <w:t xml:space="preserve">. This data will inform CMS OMH policies, priorities, and future initiatives, as the agency strives to reduce health disparities. </w:t>
      </w:r>
    </w:p>
    <w:p w:rsidR="00B90BEB" w:rsidP="00B90BEB" w:rsidRDefault="00B90BEB" w14:paraId="51D0C79E" w14:textId="77777777">
      <w:pPr>
        <w:pStyle w:val="BodyText"/>
      </w:pPr>
      <w:r w:rsidRPr="00527BBD">
        <w:t xml:space="preserve">This study is being conducted by </w:t>
      </w:r>
      <w:r>
        <w:t>CMS OMH</w:t>
      </w:r>
      <w:r w:rsidRPr="00527BBD">
        <w:t xml:space="preserve"> through its contractor, </w:t>
      </w:r>
      <w:r>
        <w:t>NORC at the University of Chicago</w:t>
      </w:r>
      <w:r w:rsidRPr="00527BBD">
        <w:t xml:space="preserve">, pursuant to </w:t>
      </w:r>
      <w:r>
        <w:t xml:space="preserve">CMS’ program authority under Section 3101 of the Public Health Service Act (PHSA) to collect, maintain, and issue defined reports on demographic data as deemed appropriate regarding health disparities. </w:t>
      </w:r>
    </w:p>
    <w:p w:rsidR="00BE37E3" w:rsidP="002D4D3A" w:rsidRDefault="004F1232" w14:paraId="07F506CD" w14:textId="4FBEEF50">
      <w:pPr>
        <w:pStyle w:val="BodyText"/>
      </w:pPr>
      <w:r>
        <w:t>The MBECS system is design</w:t>
      </w:r>
      <w:r w:rsidR="00132C6B">
        <w:t>ed</w:t>
      </w:r>
      <w:r>
        <w:t xml:space="preserve"> to conduct </w:t>
      </w:r>
      <w:r w:rsidR="0080664C">
        <w:t xml:space="preserve">population specific surveys that will be administered to the group of interest, fielded one time. This means that over the three-year period, </w:t>
      </w:r>
      <w:r w:rsidR="00356D4B">
        <w:t xml:space="preserve">three </w:t>
      </w:r>
      <w:r w:rsidR="0080664C">
        <w:t>individual surveys will be administered.</w:t>
      </w:r>
      <w:r w:rsidR="005C69E7">
        <w:t xml:space="preserve"> </w:t>
      </w:r>
      <w:r w:rsidR="0080664C">
        <w:t xml:space="preserve">This will allow </w:t>
      </w:r>
      <w:r w:rsidR="005C69E7">
        <w:t>CMS OMH to respond quickly to the data needs of stak</w:t>
      </w:r>
      <w:r w:rsidR="00132C6B">
        <w:t>e</w:t>
      </w:r>
      <w:r w:rsidR="005C69E7">
        <w:t>holders</w:t>
      </w:r>
      <w:r w:rsidR="00132C6B">
        <w:t xml:space="preserve"> with interests in these underrepresented groups.</w:t>
      </w:r>
      <w:r w:rsidR="0074342D">
        <w:t xml:space="preserve"> </w:t>
      </w:r>
      <w:r w:rsidR="00BE37E3">
        <w:t xml:space="preserve">Data collected through the MBECS </w:t>
      </w:r>
      <w:r w:rsidR="00664DCE">
        <w:t xml:space="preserve">system </w:t>
      </w:r>
      <w:r w:rsidR="00BE37E3">
        <w:t>will be used to better understand—and thus serve the needs of—Medicare beneficiaries</w:t>
      </w:r>
      <w:r w:rsidR="00664DCE">
        <w:t xml:space="preserve"> in minority populations</w:t>
      </w:r>
      <w:r w:rsidR="00BE37E3">
        <w:t>.</w:t>
      </w:r>
      <w:r w:rsidR="00940A05">
        <w:t xml:space="preserve"> </w:t>
      </w:r>
      <w:r w:rsidR="00D33285">
        <w:t xml:space="preserve">The </w:t>
      </w:r>
      <w:r w:rsidR="00664DCE">
        <w:t xml:space="preserve">core questionnaire </w:t>
      </w:r>
      <w:r w:rsidR="00D33285">
        <w:t xml:space="preserve">will collect information </w:t>
      </w:r>
      <w:r w:rsidR="00484875">
        <w:t xml:space="preserve">on </w:t>
      </w:r>
      <w:r w:rsidRPr="00D33285" w:rsidR="00D33285">
        <w:t>communication</w:t>
      </w:r>
      <w:r w:rsidR="00D33285">
        <w:t xml:space="preserve"> with medical professionals</w:t>
      </w:r>
      <w:r w:rsidRPr="00D33285" w:rsidR="00D33285">
        <w:t xml:space="preserve">, coordination of </w:t>
      </w:r>
      <w:r w:rsidR="00D33285">
        <w:t xml:space="preserve">health </w:t>
      </w:r>
      <w:r w:rsidRPr="00D33285" w:rsidR="00D33285">
        <w:t xml:space="preserve">care, experiences getting needed health care, experiences with personal </w:t>
      </w:r>
      <w:r w:rsidR="00615CDD">
        <w:t xml:space="preserve">health care </w:t>
      </w:r>
      <w:r w:rsidR="00F3466C">
        <w:t>providers</w:t>
      </w:r>
      <w:r w:rsidR="00615CDD">
        <w:t xml:space="preserve"> </w:t>
      </w:r>
      <w:r w:rsidRPr="00D33285" w:rsidR="00D33285">
        <w:t xml:space="preserve">and specialists, </w:t>
      </w:r>
      <w:r w:rsidR="00D95D70">
        <w:t>and key demographics</w:t>
      </w:r>
      <w:r w:rsidRPr="00D33285" w:rsidR="00D33285">
        <w:t xml:space="preserve">. </w:t>
      </w:r>
      <w:r w:rsidR="00744A77">
        <w:t xml:space="preserve">This data will inform CMS on potential areas and services that could be improved, from a patient perspective. </w:t>
      </w:r>
      <w:r w:rsidR="00CB56E2">
        <w:t xml:space="preserve">Sampling will include a nominal amount of “general population” for comparison purposes. </w:t>
      </w:r>
      <w:r w:rsidR="00BE37E3">
        <w:t xml:space="preserve">Data will </w:t>
      </w:r>
      <w:r w:rsidR="00CB56E2">
        <w:t xml:space="preserve">then also </w:t>
      </w:r>
      <w:r w:rsidR="00BE37E3">
        <w:t xml:space="preserve">be compared to </w:t>
      </w:r>
      <w:r w:rsidR="00C43B5B">
        <w:t xml:space="preserve">benchmarks from the </w:t>
      </w:r>
      <w:r w:rsidR="00A6105C">
        <w:t>FFS CAHPS</w:t>
      </w:r>
      <w:r w:rsidR="00C43B5B">
        <w:t xml:space="preserve">, </w:t>
      </w:r>
      <w:r w:rsidR="00A6105C">
        <w:t>MA CAHPS</w:t>
      </w:r>
      <w:r w:rsidR="00C43B5B">
        <w:t xml:space="preserve">, and </w:t>
      </w:r>
      <w:r w:rsidR="00A6105C">
        <w:t>NAM</w:t>
      </w:r>
      <w:r w:rsidR="00146B3B">
        <w:t xml:space="preserve"> CAHPS surveys</w:t>
      </w:r>
      <w:r w:rsidR="00484875">
        <w:t xml:space="preserve">. </w:t>
      </w:r>
      <w:r w:rsidR="00664DCE">
        <w:t xml:space="preserve">The population-specific questionnaire module </w:t>
      </w:r>
      <w:r w:rsidR="00AE2990">
        <w:t xml:space="preserve">described and submitted via a specific collection request </w:t>
      </w:r>
      <w:r w:rsidR="00664DCE">
        <w:t xml:space="preserve">will collect information about issues most relevant for </w:t>
      </w:r>
      <w:r w:rsidR="00AE2990">
        <w:t xml:space="preserve">that </w:t>
      </w:r>
      <w:r w:rsidR="00664DCE">
        <w:t>particular group</w:t>
      </w:r>
      <w:r w:rsidR="009B1D75">
        <w:t xml:space="preserve"> of interest.</w:t>
      </w:r>
      <w:r w:rsidR="00664DCE">
        <w:t xml:space="preserve">  </w:t>
      </w:r>
    </w:p>
    <w:p w:rsidRPr="00DE69BF" w:rsidR="00BE37E3" w:rsidP="002D4D3A" w:rsidRDefault="00AE2990" w14:paraId="5E128E8F" w14:textId="58655219">
      <w:pPr>
        <w:pStyle w:val="BodyText"/>
      </w:pPr>
      <w:r>
        <w:t xml:space="preserve">Using CMS administrative data and flags to identify minority populations of interest for each of the three surveys </w:t>
      </w:r>
      <w:r w:rsidR="00BE37E3">
        <w:t xml:space="preserve">will </w:t>
      </w:r>
      <w:r w:rsidR="00664DCE">
        <w:t>also</w:t>
      </w:r>
      <w:r w:rsidR="00BE37E3">
        <w:t xml:space="preserve"> serve as a critical validation step of this method for identifying difficult-to-study population</w:t>
      </w:r>
      <w:r w:rsidR="00664DCE">
        <w:t>s</w:t>
      </w:r>
      <w:r w:rsidR="00BE37E3">
        <w:t>, thus making it easier to study beneficiaries</w:t>
      </w:r>
      <w:r w:rsidR="00664DCE">
        <w:t xml:space="preserve"> in these groups</w:t>
      </w:r>
      <w:r w:rsidR="00BE37E3">
        <w:t xml:space="preserve"> in the future.</w:t>
      </w:r>
    </w:p>
    <w:p w:rsidRPr="00983636" w:rsidR="00BE37E3" w:rsidP="00A21201" w:rsidRDefault="00BE37E3" w14:paraId="08F3E49C" w14:textId="77777777">
      <w:pPr>
        <w:pStyle w:val="Heading2"/>
      </w:pPr>
      <w:bookmarkStart w:name="_Toc151782178" w:id="15"/>
      <w:bookmarkStart w:name="_Toc158526218" w:id="16"/>
      <w:bookmarkStart w:name="_Toc82433689" w:id="17"/>
      <w:r w:rsidRPr="00983636">
        <w:t>3. Use of Improved Information Technology</w:t>
      </w:r>
      <w:bookmarkEnd w:id="15"/>
      <w:bookmarkEnd w:id="16"/>
      <w:bookmarkEnd w:id="17"/>
    </w:p>
    <w:p w:rsidR="00F97FF9" w:rsidP="002D4D3A" w:rsidRDefault="00DD1CDA" w14:paraId="1F2F6D5B" w14:textId="6DD8EEF4">
      <w:pPr>
        <w:pStyle w:val="BodyText"/>
      </w:pPr>
      <w:r>
        <w:t>Survey respondents</w:t>
      </w:r>
      <w:r w:rsidR="00FB5239">
        <w:t xml:space="preserve"> wil</w:t>
      </w:r>
      <w:r w:rsidR="00EE27A1">
        <w:t>l</w:t>
      </w:r>
      <w:r w:rsidR="00FB5239">
        <w:t xml:space="preserve"> have the opportunity to res</w:t>
      </w:r>
      <w:r w:rsidR="00377A1D">
        <w:t>p</w:t>
      </w:r>
      <w:r w:rsidR="00FB5239">
        <w:t xml:space="preserve">ond to </w:t>
      </w:r>
      <w:r w:rsidR="00623085">
        <w:t>an</w:t>
      </w:r>
      <w:r w:rsidR="00FB5239">
        <w:t xml:space="preserve"> MBECS</w:t>
      </w:r>
      <w:r w:rsidR="00623085">
        <w:t xml:space="preserve"> survey</w:t>
      </w:r>
      <w:r w:rsidR="00FB5239">
        <w:t xml:space="preserve"> via </w:t>
      </w:r>
      <w:r w:rsidR="00EE27A1">
        <w:t>a self-administered</w:t>
      </w:r>
      <w:r w:rsidR="00FB5239">
        <w:t xml:space="preserve"> web</w:t>
      </w:r>
      <w:r w:rsidR="00EE27A1">
        <w:t>-based survey (also called computer-assisted web interview or CAWI). CAWI technology minimizes respondent burden by 1) automatically providing text fills within questions and handling skip patterns based on responses to each question</w:t>
      </w:r>
      <w:r w:rsidR="0051153B">
        <w:t>;</w:t>
      </w:r>
      <w:r w:rsidR="00EE27A1">
        <w:t xml:space="preserve"> 2) allowing respondents to complete the survey at a convenient time</w:t>
      </w:r>
      <w:r w:rsidR="0051153B">
        <w:t>;</w:t>
      </w:r>
      <w:r w:rsidR="00EE27A1">
        <w:t xml:space="preserve"> 3) allowing respondents to stop and re-enter the survey if needed</w:t>
      </w:r>
      <w:r w:rsidR="0051153B">
        <w:t>;</w:t>
      </w:r>
      <w:r w:rsidR="00EE27A1">
        <w:t xml:space="preserve"> and 4) capturing data in real-time</w:t>
      </w:r>
      <w:r w:rsidR="00A6105C">
        <w:t>, thereby</w:t>
      </w:r>
      <w:r w:rsidR="00EE27A1">
        <w:t xml:space="preserve"> eliminating the need for </w:t>
      </w:r>
      <w:r w:rsidR="00EE27A1">
        <w:lastRenderedPageBreak/>
        <w:t>manual data entry.</w:t>
      </w:r>
      <w:r w:rsidR="00EE27A1">
        <w:br/>
      </w:r>
      <w:r w:rsidR="00EE27A1">
        <w:br/>
      </w:r>
      <w:r w:rsidR="00E95E30">
        <w:t xml:space="preserve">For non-responders to the initial web survey, </w:t>
      </w:r>
      <w:r w:rsidR="00C606C3">
        <w:t>beneficiaries</w:t>
      </w:r>
      <w:r w:rsidR="00E95E30">
        <w:t xml:space="preserve"> will receive a </w:t>
      </w:r>
      <w:r w:rsidR="00F97FF9">
        <w:t>mailed paper self-administered questionnaire (SAQ)</w:t>
      </w:r>
      <w:r w:rsidR="00E95E30">
        <w:t>. Beneficiaries who do not complete either the self-administered web survey or the SAQ</w:t>
      </w:r>
      <w:r w:rsidR="00F97FF9">
        <w:t xml:space="preserve"> will be called to attempt to </w:t>
      </w:r>
      <w:r w:rsidR="004A004D">
        <w:t>complete the questionnaire</w:t>
      </w:r>
      <w:r w:rsidR="00F97FF9">
        <w:t xml:space="preserve"> via telephone</w:t>
      </w:r>
      <w:r w:rsidR="004A004D">
        <w:t xml:space="preserve"> with a trained telephone interviewer</w:t>
      </w:r>
      <w:r w:rsidR="00F97FF9">
        <w:t xml:space="preserve">. </w:t>
      </w:r>
      <w:r w:rsidR="009502EA">
        <w:t xml:space="preserve">Further, if a respondent </w:t>
      </w:r>
      <w:r w:rsidR="009B1D75">
        <w:t>does not wish to complete the survey online or via the</w:t>
      </w:r>
      <w:r w:rsidR="009502EA">
        <w:t xml:space="preserve"> paper SAQ, he/she can call a toll-free line and complete the survey via telephone.</w:t>
      </w:r>
      <w:r w:rsidR="004A004D">
        <w:t xml:space="preserve"> </w:t>
      </w:r>
      <w:r w:rsidR="00EE27A1">
        <w:t>Similar to CAWI technology, c</w:t>
      </w:r>
      <w:r w:rsidR="00F97FF9">
        <w:t>omputer-assi</w:t>
      </w:r>
      <w:r w:rsidR="004A004D">
        <w:t>s</w:t>
      </w:r>
      <w:r w:rsidR="00F97FF9">
        <w:t xml:space="preserve">ted telephone interviewing (CATI) technology </w:t>
      </w:r>
      <w:r w:rsidR="009502EA">
        <w:t xml:space="preserve">helps </w:t>
      </w:r>
      <w:r w:rsidR="00F97FF9">
        <w:t xml:space="preserve">minimize respondent </w:t>
      </w:r>
      <w:r w:rsidR="00910C4B">
        <w:t xml:space="preserve">burden </w:t>
      </w:r>
      <w:r w:rsidR="009502EA">
        <w:t>with</w:t>
      </w:r>
      <w:r w:rsidR="00F97FF9">
        <w:t xml:space="preserve"> built-in functionality </w:t>
      </w:r>
      <w:r w:rsidR="0051153B">
        <w:t xml:space="preserve">that moves </w:t>
      </w:r>
      <w:r w:rsidR="009502EA">
        <w:t xml:space="preserve">through skip patterns </w:t>
      </w:r>
      <w:r w:rsidR="0051153B">
        <w:t>seamlessly</w:t>
      </w:r>
      <w:r w:rsidR="009502EA">
        <w:t xml:space="preserve"> to increase efficiency. CATI tailors the sequence of the questions </w:t>
      </w:r>
      <w:r w:rsidR="00623085">
        <w:t>based on the answers of the respondent</w:t>
      </w:r>
      <w:r w:rsidR="009502EA">
        <w:t>, resulting in few – if any – skip errors, and automatically provid</w:t>
      </w:r>
      <w:r w:rsidR="00146B3B">
        <w:t xml:space="preserve">es text fills within questions </w:t>
      </w:r>
      <w:r w:rsidR="00F97FF9">
        <w:t xml:space="preserve">based on responses to each question. </w:t>
      </w:r>
      <w:r w:rsidR="009502EA">
        <w:t xml:space="preserve">Data collected via CATI are also automatically stored electronically, eliminating the need for manual data entry. </w:t>
      </w:r>
    </w:p>
    <w:p w:rsidRPr="002D4D3A" w:rsidR="00BE37E3" w:rsidP="00A21201" w:rsidRDefault="00BE37E3" w14:paraId="222FDED9" w14:textId="04268560">
      <w:pPr>
        <w:pStyle w:val="Heading2"/>
      </w:pPr>
      <w:bookmarkStart w:name="_Toc151782179" w:id="18"/>
      <w:bookmarkStart w:name="_Toc158526219" w:id="19"/>
      <w:bookmarkStart w:name="_Toc82433690" w:id="20"/>
      <w:r w:rsidRPr="00983636">
        <w:t>4. Efforts to Identify Duplication</w:t>
      </w:r>
      <w:bookmarkEnd w:id="18"/>
      <w:bookmarkEnd w:id="19"/>
      <w:bookmarkEnd w:id="20"/>
      <w:r w:rsidRPr="007E4359">
        <w:t xml:space="preserve"> </w:t>
      </w:r>
    </w:p>
    <w:p w:rsidR="00BE37E3" w:rsidP="002D4D3A" w:rsidRDefault="00C235D3" w14:paraId="2184E0A2" w14:textId="7DEFCDB5">
      <w:pPr>
        <w:pStyle w:val="BodyText"/>
      </w:pPr>
      <w:r>
        <w:t xml:space="preserve">Many of the </w:t>
      </w:r>
      <w:r w:rsidR="00AE2990">
        <w:t xml:space="preserve">minority </w:t>
      </w:r>
      <w:r>
        <w:t xml:space="preserve">populations that CMS OMH serves </w:t>
      </w:r>
      <w:r w:rsidR="00BE37E3">
        <w:t xml:space="preserve">have historically been difficult to identify and study due in part to the difficulty in </w:t>
      </w:r>
      <w:r>
        <w:t>identifying them within larger data collection systems</w:t>
      </w:r>
      <w:r w:rsidR="00BE37E3">
        <w:t xml:space="preserve">. </w:t>
      </w:r>
      <w:r w:rsidR="00AE2990">
        <w:t xml:space="preserve">Via </w:t>
      </w:r>
      <w:r w:rsidR="003D431C">
        <w:t xml:space="preserve">the </w:t>
      </w:r>
      <w:r w:rsidR="00356D4B">
        <w:t xml:space="preserve">three </w:t>
      </w:r>
      <w:r w:rsidR="00AE2990">
        <w:t>surveys, t</w:t>
      </w:r>
      <w:r w:rsidR="00440E6F">
        <w:t xml:space="preserve">he MBECS </w:t>
      </w:r>
      <w:r w:rsidR="00AE2990">
        <w:t xml:space="preserve">umbrella </w:t>
      </w:r>
      <w:r w:rsidR="00440E6F">
        <w:t>system will collect data that are not available elsewhere</w:t>
      </w:r>
      <w:r w:rsidR="00AE2990">
        <w:t>. B</w:t>
      </w:r>
      <w:r w:rsidR="00440E6F">
        <w:t>efore conducting any of the individual surveys under the system, CMS OMH will make every effort to determine that the data are not available from other sources.</w:t>
      </w:r>
    </w:p>
    <w:p w:rsidRPr="00983636" w:rsidR="00BE37E3" w:rsidP="00A21201" w:rsidRDefault="00BE37E3" w14:paraId="01AA6A5E" w14:textId="77777777">
      <w:pPr>
        <w:pStyle w:val="Heading2"/>
      </w:pPr>
      <w:bookmarkStart w:name="_Toc151782180" w:id="21"/>
      <w:bookmarkStart w:name="_Toc158526220" w:id="22"/>
      <w:bookmarkStart w:name="_Toc82433691" w:id="23"/>
      <w:r w:rsidRPr="00983636">
        <w:t>5. Involvement of Small Entities</w:t>
      </w:r>
      <w:bookmarkEnd w:id="21"/>
      <w:bookmarkEnd w:id="22"/>
      <w:bookmarkEnd w:id="23"/>
    </w:p>
    <w:p w:rsidRPr="00463457" w:rsidR="00BE37E3" w:rsidP="002D4D3A" w:rsidRDefault="00BE37E3" w14:paraId="01BF3E84" w14:textId="77777777">
      <w:pPr>
        <w:pStyle w:val="BodyText"/>
      </w:pPr>
      <w:r w:rsidRPr="00463457">
        <w:t xml:space="preserve">This collection of information does not impact small businesses or other small entities. </w:t>
      </w:r>
    </w:p>
    <w:p w:rsidR="00BE37E3" w:rsidP="00A21201" w:rsidRDefault="00BE37E3" w14:paraId="20CE016F" w14:textId="77777777">
      <w:pPr>
        <w:pStyle w:val="Heading2"/>
      </w:pPr>
      <w:bookmarkStart w:name="_Toc151782181" w:id="24"/>
      <w:bookmarkStart w:name="_Toc158526221" w:id="25"/>
      <w:bookmarkStart w:name="_Toc82433692" w:id="26"/>
      <w:r w:rsidRPr="00983636">
        <w:t>6. Consequences if Information Collected Less Frequently</w:t>
      </w:r>
      <w:bookmarkStart w:name="_Toc151782182" w:id="27"/>
      <w:bookmarkStart w:name="_Toc158526222" w:id="28"/>
      <w:bookmarkEnd w:id="24"/>
      <w:bookmarkEnd w:id="25"/>
      <w:bookmarkEnd w:id="26"/>
    </w:p>
    <w:p w:rsidRPr="00B15C92" w:rsidR="00BE37E3" w:rsidP="002D4D3A" w:rsidRDefault="002B4D48" w14:paraId="1A19C1A2" w14:textId="05A3F91A">
      <w:pPr>
        <w:pStyle w:val="BodyText"/>
      </w:pPr>
      <w:r>
        <w:t>CMS OMH is proposing MBECS as a data collection system</w:t>
      </w:r>
      <w:r w:rsidR="00A976BC">
        <w:t xml:space="preserve"> </w:t>
      </w:r>
      <w:r w:rsidR="00440E6F">
        <w:t xml:space="preserve">to give CMS OMH the flexibility to collect data on minority subgroups that </w:t>
      </w:r>
      <w:r w:rsidR="005F701C">
        <w:t xml:space="preserve">are not </w:t>
      </w:r>
      <w:r w:rsidR="00440E6F">
        <w:t xml:space="preserve">being collected elsewhere. This system is being developed in response to data needs that </w:t>
      </w:r>
      <w:r w:rsidR="005F701C">
        <w:t xml:space="preserve">currently are not </w:t>
      </w:r>
      <w:r w:rsidR="00440E6F">
        <w:t xml:space="preserve">being met through other federal surveys. The collected data will help guide CMS </w:t>
      </w:r>
      <w:r w:rsidR="005A6233">
        <w:t xml:space="preserve">OMH </w:t>
      </w:r>
      <w:r w:rsidR="00440E6F">
        <w:t xml:space="preserve">policy and </w:t>
      </w:r>
      <w:r w:rsidR="00A976BC">
        <w:t xml:space="preserve">help </w:t>
      </w:r>
      <w:r w:rsidR="00440E6F">
        <w:t xml:space="preserve">CMS </w:t>
      </w:r>
      <w:r w:rsidR="005A6233">
        <w:t xml:space="preserve">OMH </w:t>
      </w:r>
      <w:r w:rsidR="00440E6F">
        <w:t xml:space="preserve">respond to the needs of minority population groups.  </w:t>
      </w:r>
      <w:r w:rsidRPr="00440E6F" w:rsidR="00440E6F">
        <w:t xml:space="preserve"> </w:t>
      </w:r>
    </w:p>
    <w:p w:rsidR="00BE37E3" w:rsidP="00A21201" w:rsidRDefault="00BE37E3" w14:paraId="69262C88" w14:textId="77777777">
      <w:pPr>
        <w:pStyle w:val="Heading2"/>
      </w:pPr>
      <w:bookmarkStart w:name="_Toc82433693" w:id="29"/>
      <w:r w:rsidRPr="00412C6F">
        <w:t>7. Special Circumstances</w:t>
      </w:r>
      <w:bookmarkEnd w:id="27"/>
      <w:bookmarkEnd w:id="28"/>
      <w:bookmarkEnd w:id="29"/>
    </w:p>
    <w:p w:rsidR="00BE37E3" w:rsidP="002D4D3A" w:rsidRDefault="00BE37E3" w14:paraId="78873E96" w14:textId="2C8DA6CF">
      <w:pPr>
        <w:pStyle w:val="BodyText"/>
      </w:pPr>
      <w:r w:rsidRPr="004F03D2">
        <w:t>This request is consistent with the general information collection guid</w:t>
      </w:r>
      <w:r>
        <w:t>elines of 5 CFR 1320.5(d)(2).</w:t>
      </w:r>
      <w:r w:rsidR="00940A05">
        <w:t xml:space="preserve"> </w:t>
      </w:r>
      <w:r>
        <w:t>No special circumstances apply.</w:t>
      </w:r>
    </w:p>
    <w:p w:rsidR="00BE37E3" w:rsidP="00A21201" w:rsidRDefault="00BE37E3" w14:paraId="7778F0E2" w14:textId="77777777">
      <w:pPr>
        <w:pStyle w:val="Heading2"/>
      </w:pPr>
      <w:bookmarkStart w:name="_Toc151782183" w:id="30"/>
      <w:bookmarkStart w:name="_Toc158526223" w:id="31"/>
      <w:bookmarkStart w:name="_Toc82433694" w:id="32"/>
      <w:r w:rsidRPr="00412C6F">
        <w:t>8.</w:t>
      </w:r>
      <w:r w:rsidRPr="004E3A1B">
        <w:t xml:space="preserve"> </w:t>
      </w:r>
      <w:bookmarkEnd w:id="30"/>
      <w:bookmarkEnd w:id="31"/>
      <w:r w:rsidRPr="004E3A1B">
        <w:t>Federal Register Notice and Outside Consultations</w:t>
      </w:r>
      <w:bookmarkEnd w:id="32"/>
    </w:p>
    <w:p w:rsidRPr="00A21201" w:rsidR="00BE37E3" w:rsidP="00A21201" w:rsidRDefault="00BE37E3" w14:paraId="141E3BC8" w14:textId="77777777">
      <w:pPr>
        <w:pStyle w:val="Heading3"/>
      </w:pPr>
      <w:bookmarkStart w:name="_Toc82433695" w:id="33"/>
      <w:r w:rsidRPr="00A21201">
        <w:t>8.a. Federal Register Notice</w:t>
      </w:r>
      <w:bookmarkEnd w:id="33"/>
    </w:p>
    <w:p w:rsidR="00B57D7A" w:rsidP="002D4D3A" w:rsidRDefault="009A09B4" w14:paraId="033D7320" w14:textId="2492D6EE">
      <w:pPr>
        <w:pStyle w:val="BodyText"/>
      </w:pPr>
      <w:bookmarkStart w:name="OLE_LINK3" w:id="34"/>
      <w:bookmarkStart w:name="OLE_LINK4" w:id="35"/>
      <w:r w:rsidRPr="009A09B4">
        <w:t xml:space="preserve">The 60-day Federal Register Notice was published on </w:t>
      </w:r>
      <w:r w:rsidRPr="001D23FA" w:rsidR="001D23FA">
        <w:t xml:space="preserve">April 9, 2021 (86 FR 18534). </w:t>
      </w:r>
      <w:r w:rsidR="001D23FA">
        <w:t xml:space="preserve"> </w:t>
      </w:r>
    </w:p>
    <w:p w:rsidR="00996CB5" w:rsidP="002D4D3A" w:rsidRDefault="00FF0D82" w14:paraId="6775EA71" w14:textId="777F1641">
      <w:pPr>
        <w:pStyle w:val="BodyText"/>
      </w:pPr>
      <w:r>
        <w:lastRenderedPageBreak/>
        <w:t xml:space="preserve">The </w:t>
      </w:r>
      <w:r w:rsidR="00D85C58">
        <w:t xml:space="preserve">MBECS </w:t>
      </w:r>
      <w:r>
        <w:t xml:space="preserve">submission </w:t>
      </w:r>
      <w:r w:rsidR="00D85C58">
        <w:t>received comments</w:t>
      </w:r>
      <w:r>
        <w:t xml:space="preserve"> from two respondents</w:t>
      </w:r>
      <w:r w:rsidR="00843C6D">
        <w:t>.</w:t>
      </w:r>
      <w:r w:rsidR="00D85C58">
        <w:t xml:space="preserve"> </w:t>
      </w:r>
      <w:r>
        <w:t>CMS OMH’s</w:t>
      </w:r>
      <w:r w:rsidR="00F3466C">
        <w:t xml:space="preserve"> </w:t>
      </w:r>
      <w:r w:rsidR="00D85C58">
        <w:t>response</w:t>
      </w:r>
      <w:r>
        <w:t>s to these comments are</w:t>
      </w:r>
      <w:r w:rsidR="00D85C58">
        <w:t xml:space="preserve"> located in the document “OMH </w:t>
      </w:r>
      <w:r w:rsidR="00F6381E">
        <w:t>R</w:t>
      </w:r>
      <w:r w:rsidR="00D85C58">
        <w:t>esponse and Comment Su</w:t>
      </w:r>
      <w:r w:rsidR="00996CB5">
        <w:t>mmary”</w:t>
      </w:r>
      <w:r w:rsidR="00F6381E">
        <w:t xml:space="preserve">. </w:t>
      </w:r>
      <w:r>
        <w:t>The first c</w:t>
      </w:r>
      <w:r w:rsidR="00F6381E">
        <w:t>omment</w:t>
      </w:r>
      <w:r>
        <w:t xml:space="preserve"> is </w:t>
      </w:r>
      <w:r w:rsidR="00F6381E">
        <w:t xml:space="preserve">concerning </w:t>
      </w:r>
      <w:r w:rsidR="00D764B4">
        <w:t>change</w:t>
      </w:r>
      <w:r w:rsidR="00843C6D">
        <w:t>s</w:t>
      </w:r>
      <w:r w:rsidR="00D764B4">
        <w:t xml:space="preserve"> </w:t>
      </w:r>
      <w:r>
        <w:t>to</w:t>
      </w:r>
      <w:r w:rsidR="00D764B4">
        <w:t xml:space="preserve"> the </w:t>
      </w:r>
      <w:r w:rsidR="00BB521D">
        <w:t>language of</w:t>
      </w:r>
      <w:r>
        <w:t xml:space="preserve"> the core CAHPS Medicare Experience Survey from which each</w:t>
      </w:r>
      <w:r w:rsidR="00BB521D">
        <w:t xml:space="preserve"> MBECS</w:t>
      </w:r>
      <w:r w:rsidR="004E11B0">
        <w:t xml:space="preserve"> </w:t>
      </w:r>
      <w:r>
        <w:t xml:space="preserve">would be developed, changing </w:t>
      </w:r>
      <w:r w:rsidR="004E11B0">
        <w:t>the word “doctor” to “health care provider” and includ</w:t>
      </w:r>
      <w:r>
        <w:t>ing</w:t>
      </w:r>
      <w:r w:rsidR="004E11B0">
        <w:t xml:space="preserve"> </w:t>
      </w:r>
      <w:r>
        <w:t>a</w:t>
      </w:r>
      <w:r w:rsidR="004E11B0">
        <w:t xml:space="preserve"> definition of health care providers </w:t>
      </w:r>
      <w:r>
        <w:t>in the questionnaire, which includes n</w:t>
      </w:r>
      <w:r w:rsidR="004E11B0">
        <w:t xml:space="preserve">urse </w:t>
      </w:r>
      <w:r>
        <w:t>p</w:t>
      </w:r>
      <w:r w:rsidR="004E11B0">
        <w:t>ractitioners</w:t>
      </w:r>
      <w:r>
        <w:t xml:space="preserve"> as a part of the definition. The </w:t>
      </w:r>
      <w:r w:rsidR="00F3466C">
        <w:t>commenter</w:t>
      </w:r>
      <w:r>
        <w:t xml:space="preserve"> also </w:t>
      </w:r>
      <w:r w:rsidR="00F3466C">
        <w:t>suggested revising</w:t>
      </w:r>
      <w:r>
        <w:t xml:space="preserve"> some of the questions in the core set of existing CAHPS </w:t>
      </w:r>
      <w:r w:rsidR="00026291">
        <w:t>questions for consisten</w:t>
      </w:r>
      <w:r>
        <w:t xml:space="preserve">cy and clarity. A second </w:t>
      </w:r>
      <w:r w:rsidR="00F3466C">
        <w:t>commenter</w:t>
      </w:r>
      <w:r>
        <w:t xml:space="preserve"> suggested ensuring the </w:t>
      </w:r>
      <w:r w:rsidR="00BB521D">
        <w:t xml:space="preserve">consistency of </w:t>
      </w:r>
      <w:r w:rsidR="00026291">
        <w:t xml:space="preserve">MBECS </w:t>
      </w:r>
      <w:r w:rsidR="00F3466C">
        <w:t>question language</w:t>
      </w:r>
      <w:r w:rsidR="00BB521D">
        <w:t xml:space="preserve"> </w:t>
      </w:r>
      <w:r w:rsidR="00026291">
        <w:t xml:space="preserve">and </w:t>
      </w:r>
      <w:r w:rsidR="00BB521D">
        <w:t xml:space="preserve">with </w:t>
      </w:r>
      <w:r w:rsidR="00843C6D">
        <w:t xml:space="preserve">the </w:t>
      </w:r>
      <w:r w:rsidR="00BB521D">
        <w:t>OMB requirements</w:t>
      </w:r>
      <w:r>
        <w:t xml:space="preserve"> and categorizations</w:t>
      </w:r>
      <w:r w:rsidR="00BB521D">
        <w:t xml:space="preserve"> for Race and Ethnicity </w:t>
      </w:r>
      <w:r w:rsidR="004E11B0">
        <w:t xml:space="preserve">data </w:t>
      </w:r>
      <w:r w:rsidR="00BB521D">
        <w:t>collection</w:t>
      </w:r>
      <w:r w:rsidR="00026291">
        <w:t xml:space="preserve">. They </w:t>
      </w:r>
      <w:r w:rsidR="00C41C68">
        <w:t>sugges</w:t>
      </w:r>
      <w:r w:rsidR="00026291">
        <w:t xml:space="preserve">ted that de-identified data be available to health plans after data collection, as well as response rates of each survey mode. </w:t>
      </w:r>
      <w:r w:rsidR="00C41C68">
        <w:t xml:space="preserve"> </w:t>
      </w:r>
      <w:r w:rsidR="00BB521D">
        <w:t xml:space="preserve"> </w:t>
      </w:r>
      <w:r w:rsidR="00026291">
        <w:t xml:space="preserve">CMS OMH’s ability to adhere to this request will be dependent on </w:t>
      </w:r>
      <w:r w:rsidR="00F3466C">
        <w:t>the ability to ensure</w:t>
      </w:r>
      <w:r w:rsidR="00026291">
        <w:t xml:space="preserve"> </w:t>
      </w:r>
      <w:r w:rsidR="00BB521D">
        <w:t xml:space="preserve">the </w:t>
      </w:r>
      <w:r w:rsidR="00026291">
        <w:t xml:space="preserve">privacy </w:t>
      </w:r>
      <w:r w:rsidR="00BB521D">
        <w:t xml:space="preserve">protection of the </w:t>
      </w:r>
      <w:r w:rsidR="00843C6D">
        <w:t xml:space="preserve">surveyed </w:t>
      </w:r>
      <w:r w:rsidR="00BB521D">
        <w:t>beneficiaries</w:t>
      </w:r>
      <w:r w:rsidR="00026291">
        <w:t xml:space="preserve">. Finally, the second </w:t>
      </w:r>
      <w:r w:rsidR="00F3466C">
        <w:t>commenter</w:t>
      </w:r>
      <w:r w:rsidR="00026291">
        <w:t xml:space="preserve"> indicated that the MA-PD CAHPS data collection be considered when sending MBECS surveys so as to reduce the burden on beneficiaries that could receive two surveys in the same year. </w:t>
      </w:r>
    </w:p>
    <w:p w:rsidR="001D23FA" w:rsidP="002D4D3A" w:rsidRDefault="00C41C68" w14:paraId="6351597E" w14:textId="51AEB9B4">
      <w:pPr>
        <w:pStyle w:val="BodyText"/>
      </w:pPr>
      <w:r>
        <w:t xml:space="preserve">OMH </w:t>
      </w:r>
      <w:r w:rsidR="00CD4C0D">
        <w:t xml:space="preserve">will </w:t>
      </w:r>
      <w:r w:rsidR="001F7A5B">
        <w:t xml:space="preserve">take </w:t>
      </w:r>
      <w:r w:rsidR="00026291">
        <w:t>these</w:t>
      </w:r>
      <w:r w:rsidR="00CD4C0D">
        <w:t xml:space="preserve"> comments and suggestions in</w:t>
      </w:r>
      <w:r w:rsidR="00026291">
        <w:t>to</w:t>
      </w:r>
      <w:r w:rsidR="00CD4C0D">
        <w:t xml:space="preserve"> consideration to ensure </w:t>
      </w:r>
      <w:r w:rsidR="001F7A5B">
        <w:t xml:space="preserve">that clear and consistent </w:t>
      </w:r>
      <w:r w:rsidR="00CD4C0D">
        <w:t xml:space="preserve">language </w:t>
      </w:r>
      <w:r w:rsidR="001F7A5B">
        <w:t>and definitions are used</w:t>
      </w:r>
      <w:r w:rsidR="00CD4C0D">
        <w:t xml:space="preserve">, </w:t>
      </w:r>
      <w:r w:rsidR="001F7A5B">
        <w:t>including</w:t>
      </w:r>
      <w:r w:rsidR="00CD4C0D">
        <w:t xml:space="preserve"> </w:t>
      </w:r>
      <w:r w:rsidR="001F7A5B">
        <w:t>ex</w:t>
      </w:r>
      <w:r w:rsidR="00CD4C0D">
        <w:t>chang</w:t>
      </w:r>
      <w:r w:rsidR="001F7A5B">
        <w:t>ing</w:t>
      </w:r>
      <w:r w:rsidR="00CD4C0D">
        <w:t xml:space="preserve"> the word doctor for health care provider, adding </w:t>
      </w:r>
      <w:r w:rsidR="001F7A5B">
        <w:t>n</w:t>
      </w:r>
      <w:r w:rsidR="00CD4C0D">
        <w:t xml:space="preserve">urse </w:t>
      </w:r>
      <w:r w:rsidR="00F3466C">
        <w:t>p</w:t>
      </w:r>
      <w:r w:rsidR="00CD4C0D">
        <w:t>racti</w:t>
      </w:r>
      <w:r w:rsidR="00910D5A">
        <w:t>ti</w:t>
      </w:r>
      <w:r w:rsidR="00CD4C0D">
        <w:t xml:space="preserve">oners </w:t>
      </w:r>
      <w:r w:rsidR="001F7A5B">
        <w:t xml:space="preserve">to the health care provider definition, and following OMB race and </w:t>
      </w:r>
      <w:r w:rsidR="0050166F">
        <w:t xml:space="preserve">ethnicity </w:t>
      </w:r>
      <w:r w:rsidR="001F7A5B">
        <w:t xml:space="preserve">categorizations. </w:t>
      </w:r>
      <w:r w:rsidR="00CD4C0D">
        <w:t xml:space="preserve">, </w:t>
      </w:r>
      <w:r w:rsidR="001F7A5B">
        <w:t>CMS OMH will</w:t>
      </w:r>
      <w:r w:rsidR="00CD4C0D">
        <w:t xml:space="preserve"> ensure the privacy of our surveyed </w:t>
      </w:r>
      <w:r w:rsidR="00F3466C">
        <w:t>beneficiaries</w:t>
      </w:r>
      <w:r w:rsidR="00CD4C0D">
        <w:t xml:space="preserve"> is protected in all forms, and will </w:t>
      </w:r>
      <w:r w:rsidR="00F3466C">
        <w:t>evaluate</w:t>
      </w:r>
      <w:r w:rsidR="00CD4C0D">
        <w:t xml:space="preserve"> the interaction of the MA-PD CAHPS survey to reduce burden on </w:t>
      </w:r>
      <w:r w:rsidR="00E55A34">
        <w:t>o</w:t>
      </w:r>
      <w:r w:rsidR="00CD4C0D">
        <w:t>ur beneficiaries</w:t>
      </w:r>
      <w:r w:rsidR="003D7D70">
        <w:t>.</w:t>
      </w:r>
    </w:p>
    <w:p w:rsidR="001D23FA" w:rsidP="002D4D3A" w:rsidRDefault="001D23FA" w14:paraId="5ADA0910" w14:textId="2977E730">
      <w:pPr>
        <w:pStyle w:val="BodyText"/>
      </w:pPr>
      <w:r>
        <w:t>The 3</w:t>
      </w:r>
      <w:r w:rsidRPr="009A09B4">
        <w:t xml:space="preserve">0-day Federal Register Notice was published on </w:t>
      </w:r>
      <w:r w:rsidR="002878D4">
        <w:t>July 29, 2021</w:t>
      </w:r>
      <w:r w:rsidRPr="00E35437">
        <w:t xml:space="preserve"> </w:t>
      </w:r>
      <w:r w:rsidR="002878D4">
        <w:t xml:space="preserve">(86 FR </w:t>
      </w:r>
      <w:r w:rsidRPr="002878D4" w:rsidR="002878D4">
        <w:t>40846</w:t>
      </w:r>
      <w:r w:rsidR="002878D4">
        <w:t>)</w:t>
      </w:r>
    </w:p>
    <w:p w:rsidRPr="008B4F36" w:rsidR="00910D5A" w:rsidP="00910D5A" w:rsidRDefault="00910D5A" w14:paraId="7DFB432F" w14:textId="77777777">
      <w:pPr>
        <w:pStyle w:val="Default"/>
        <w:jc w:val="both"/>
      </w:pPr>
      <w:r>
        <w:t>CMS</w:t>
      </w:r>
      <w:r w:rsidRPr="008B4F36">
        <w:t xml:space="preserve"> received a comment requesting to update MBECS to include measures of sexual orientation</w:t>
      </w:r>
    </w:p>
    <w:p w:rsidR="00910D5A" w:rsidP="00910D5A" w:rsidRDefault="00910D5A" w14:paraId="2B4D59F6" w14:textId="77777777">
      <w:pPr>
        <w:autoSpaceDE w:val="0"/>
        <w:autoSpaceDN w:val="0"/>
        <w:adjustRightInd w:val="0"/>
        <w:jc w:val="both"/>
      </w:pPr>
      <w:r w:rsidRPr="008B4F36">
        <w:t xml:space="preserve">and gender identity (SOGI) in the core MBECS instrument. The commenter recommended that several aspects of the proposed Questions 67 and 68 do not reflect emerging best practices in measurement of </w:t>
      </w:r>
      <w:r>
        <w:t>SOGI</w:t>
      </w:r>
      <w:r w:rsidRPr="008B4F36">
        <w:t xml:space="preserve"> and recommend</w:t>
      </w:r>
      <w:r>
        <w:t>ed</w:t>
      </w:r>
      <w:r w:rsidRPr="008B4F36">
        <w:t xml:space="preserve"> a two-step design question methodology starting with </w:t>
      </w:r>
      <w:r>
        <w:t>g</w:t>
      </w:r>
      <w:r w:rsidRPr="008B4F36">
        <w:t xml:space="preserve">ender, following with </w:t>
      </w:r>
      <w:r>
        <w:t>s</w:t>
      </w:r>
      <w:r w:rsidRPr="008B4F36">
        <w:t>ex assigned at birth. Also, the commenter highlight</w:t>
      </w:r>
      <w:r>
        <w:t>ed</w:t>
      </w:r>
      <w:r w:rsidRPr="008B4F36">
        <w:t xml:space="preserve"> that the proposed core questionnaire does not include transgender people and people with intersex traits.</w:t>
      </w:r>
      <w:r>
        <w:t xml:space="preserve"> CMS </w:t>
      </w:r>
      <w:r w:rsidRPr="008B4F36">
        <w:t xml:space="preserve">OMH will consider </w:t>
      </w:r>
      <w:r>
        <w:t>the</w:t>
      </w:r>
      <w:r w:rsidRPr="008B4F36">
        <w:t xml:space="preserve"> suggestions on </w:t>
      </w:r>
      <w:r>
        <w:t xml:space="preserve">incorporating </w:t>
      </w:r>
      <w:r w:rsidRPr="008B4F36">
        <w:t xml:space="preserve">the SOGI </w:t>
      </w:r>
      <w:r>
        <w:t>questions on the MBECS</w:t>
      </w:r>
      <w:r w:rsidRPr="008B4F36">
        <w:t xml:space="preserve">. </w:t>
      </w:r>
    </w:p>
    <w:p w:rsidR="00910D5A" w:rsidP="002D4D3A" w:rsidRDefault="00910D5A" w14:paraId="77ECD3A8" w14:textId="77777777">
      <w:pPr>
        <w:pStyle w:val="BodyText"/>
      </w:pPr>
    </w:p>
    <w:p w:rsidRPr="00412C6F" w:rsidR="00BE37E3" w:rsidP="00E7435F" w:rsidRDefault="00BE37E3" w14:paraId="705D44EB" w14:textId="1E05044E">
      <w:pPr>
        <w:pStyle w:val="Heading3"/>
      </w:pPr>
      <w:bookmarkStart w:name="_Toc82433696" w:id="36"/>
      <w:bookmarkEnd w:id="34"/>
      <w:bookmarkEnd w:id="35"/>
      <w:r>
        <w:t>8.b.</w:t>
      </w:r>
      <w:r w:rsidR="00940A05">
        <w:t xml:space="preserve"> </w:t>
      </w:r>
      <w:r w:rsidRPr="004E3A1B">
        <w:t>Outside Consultations</w:t>
      </w:r>
      <w:bookmarkEnd w:id="36"/>
    </w:p>
    <w:p w:rsidR="00946EA9" w:rsidP="0033641B" w:rsidRDefault="00A65442" w14:paraId="767B1BD2" w14:textId="2CF2E0E4">
      <w:pPr>
        <w:spacing w:after="100" w:afterAutospacing="1"/>
      </w:pPr>
      <w:bookmarkStart w:name="_Toc457285506" w:id="37"/>
      <w:bookmarkStart w:name="_Toc58725294" w:id="38"/>
      <w:bookmarkStart w:name="_Toc151782184" w:id="39"/>
      <w:bookmarkStart w:name="_Toc158526224" w:id="40"/>
      <w:r>
        <w:t>CMS OMH has consulted regularly with the CMS Survey Coor</w:t>
      </w:r>
      <w:r w:rsidR="000B7493">
        <w:t xml:space="preserve">dination Forum on various topics, and will continue to do so as needed. </w:t>
      </w:r>
      <w:r w:rsidRPr="009A09B4" w:rsidR="009A09B4">
        <w:t xml:space="preserve">CMS </w:t>
      </w:r>
      <w:r w:rsidR="009A09B4">
        <w:t xml:space="preserve">OMH also </w:t>
      </w:r>
      <w:r w:rsidRPr="009A09B4" w:rsidR="009A09B4">
        <w:t>participates in interagency working groups as well as research conferences to consult with a wide variety of data users and policy officials interested in data</w:t>
      </w:r>
      <w:r w:rsidR="009A09B4">
        <w:t xml:space="preserve"> on minority health</w:t>
      </w:r>
      <w:r w:rsidRPr="009A09B4" w:rsidR="009A09B4">
        <w:t>.</w:t>
      </w:r>
      <w:r w:rsidR="009A09B4">
        <w:t xml:space="preserve"> </w:t>
      </w:r>
      <w:r w:rsidR="000B7493">
        <w:t>In addition, p</w:t>
      </w:r>
      <w:r w:rsidR="00125BFC">
        <w:t xml:space="preserve">rior to the implementation of any survey </w:t>
      </w:r>
      <w:r w:rsidR="005A6233">
        <w:t>field</w:t>
      </w:r>
      <w:r w:rsidR="009B1D75">
        <w:t>ed</w:t>
      </w:r>
      <w:r w:rsidR="005A6233">
        <w:t xml:space="preserve"> </w:t>
      </w:r>
      <w:r w:rsidR="00125BFC">
        <w:t xml:space="preserve">under the MBECS system, CMS OMH will seek input from stakeholders and experts in minority health for </w:t>
      </w:r>
      <w:r w:rsidR="00A976BC">
        <w:t xml:space="preserve">the </w:t>
      </w:r>
      <w:r w:rsidR="00125BFC">
        <w:t xml:space="preserve">population of interest. </w:t>
      </w:r>
    </w:p>
    <w:p w:rsidRPr="00BD52A9" w:rsidR="00BE37E3" w:rsidP="00A21201" w:rsidRDefault="00BE37E3" w14:paraId="12CC69FB" w14:textId="77777777">
      <w:pPr>
        <w:pStyle w:val="Heading2"/>
      </w:pPr>
      <w:bookmarkStart w:name="_Toc82433697" w:id="41"/>
      <w:r w:rsidRPr="00BD52A9">
        <w:t>9. Payments/Gifts to Respondents</w:t>
      </w:r>
      <w:bookmarkEnd w:id="37"/>
      <w:bookmarkEnd w:id="38"/>
      <w:bookmarkEnd w:id="39"/>
      <w:bookmarkEnd w:id="40"/>
      <w:bookmarkEnd w:id="41"/>
    </w:p>
    <w:p w:rsidR="00375910" w:rsidP="002D4D3A" w:rsidRDefault="00BE37E3" w14:paraId="4E1D0AC3" w14:textId="3BCD8D6D">
      <w:pPr>
        <w:spacing w:after="100" w:afterAutospacing="1"/>
      </w:pPr>
      <w:r>
        <w:t xml:space="preserve">CMS OMH anticipates some difficulties in finding and gaining cooperation from </w:t>
      </w:r>
      <w:r w:rsidR="002B4D48">
        <w:t>some minority</w:t>
      </w:r>
      <w:r>
        <w:t xml:space="preserve"> population</w:t>
      </w:r>
      <w:r w:rsidR="002B4D48">
        <w:t>s</w:t>
      </w:r>
      <w:r>
        <w:t xml:space="preserve"> due to the</w:t>
      </w:r>
      <w:r w:rsidR="00583027">
        <w:t>ir unique</w:t>
      </w:r>
      <w:r>
        <w:t xml:space="preserve"> characteristics.</w:t>
      </w:r>
      <w:r w:rsidR="00940A05">
        <w:t xml:space="preserve"> </w:t>
      </w:r>
      <w:r w:rsidR="00375910">
        <w:t>The evidence on response rates</w:t>
      </w:r>
      <w:r w:rsidR="00162997">
        <w:t xml:space="preserve"> and non</w:t>
      </w:r>
      <w:r w:rsidR="002950B0">
        <w:t>response</w:t>
      </w:r>
      <w:r w:rsidR="00375910">
        <w:t xml:space="preserve"> </w:t>
      </w:r>
      <w:r w:rsidR="00375910">
        <w:lastRenderedPageBreak/>
        <w:t>is more developed for disabled and non-white beneficiari</w:t>
      </w:r>
      <w:r w:rsidR="004C48FB">
        <w:t>es than</w:t>
      </w:r>
      <w:r w:rsidR="00375910">
        <w:t xml:space="preserve"> </w:t>
      </w:r>
      <w:r w:rsidR="005A6233">
        <w:t xml:space="preserve">for </w:t>
      </w:r>
      <w:r w:rsidR="00375910">
        <w:t>beneficiaries with serious mental illness</w:t>
      </w:r>
      <w:r w:rsidR="009A09B4">
        <w:t xml:space="preserve"> (SMI)</w:t>
      </w:r>
      <w:r w:rsidR="00375910">
        <w:t xml:space="preserve"> or substance abuse disorders</w:t>
      </w:r>
      <w:r w:rsidR="009A09B4">
        <w:t xml:space="preserve"> (SUD)</w:t>
      </w:r>
      <w:r w:rsidR="005A6233">
        <w:t>. However</w:t>
      </w:r>
      <w:r w:rsidR="00C606C3">
        <w:t xml:space="preserve">, CMS </w:t>
      </w:r>
      <w:r w:rsidR="00375910">
        <w:t xml:space="preserve">OMH expects </w:t>
      </w:r>
      <w:r w:rsidR="00356D4B">
        <w:t>these</w:t>
      </w:r>
      <w:r w:rsidR="00375910">
        <w:t xml:space="preserve"> populations to be more similar to the disabled population than their non-disabled counterparts</w:t>
      </w:r>
      <w:r w:rsidR="004C48FB">
        <w:t xml:space="preserve"> </w:t>
      </w:r>
      <w:r w:rsidRPr="004C48FB" w:rsidR="004C48FB">
        <w:t xml:space="preserve">in terms of </w:t>
      </w:r>
      <w:r w:rsidR="005A6233">
        <w:t>anticipated</w:t>
      </w:r>
      <w:r w:rsidRPr="004C48FB" w:rsidR="005A6233">
        <w:t xml:space="preserve"> </w:t>
      </w:r>
      <w:r w:rsidRPr="004C48FB" w:rsidR="004C48FB">
        <w:t>response rates</w:t>
      </w:r>
      <w:r w:rsidR="00375910">
        <w:t xml:space="preserve">. </w:t>
      </w:r>
    </w:p>
    <w:p w:rsidR="00583027" w:rsidP="002D4D3A" w:rsidRDefault="002438F4" w14:paraId="10D93DFE" w14:textId="7BB4EA58">
      <w:pPr>
        <w:spacing w:after="100" w:afterAutospacing="1"/>
      </w:pPr>
      <w:r>
        <w:t xml:space="preserve">There is some evidence suggesting that people with </w:t>
      </w:r>
      <w:r w:rsidR="005A6233">
        <w:t>SMIs</w:t>
      </w:r>
      <w:r>
        <w:t xml:space="preserve"> are more likely to be non-responders</w:t>
      </w:r>
      <w:r w:rsidR="004C48FB">
        <w:t xml:space="preserve"> to surveys</w:t>
      </w:r>
      <w:r>
        <w:t>, but these studies were not conducted with the Medicare population so it remains unclear exactly how difficult recruitment will be for this group.</w:t>
      </w:r>
      <w:r>
        <w:rPr>
          <w:rStyle w:val="EndnoteReference"/>
        </w:rPr>
        <w:endnoteReference w:id="2"/>
      </w:r>
      <w:r>
        <w:rPr>
          <w:vertAlign w:val="superscript"/>
        </w:rPr>
        <w:t>,</w:t>
      </w:r>
      <w:r>
        <w:rPr>
          <w:rStyle w:val="EndnoteReference"/>
        </w:rPr>
        <w:endnoteReference w:id="3"/>
      </w:r>
      <w:r>
        <w:t xml:space="preserve"> </w:t>
      </w:r>
      <w:r w:rsidR="00375910">
        <w:t>I</w:t>
      </w:r>
      <w:r w:rsidR="008236FA">
        <w:t>n one study of CAHPS survey response rates, disabled and non-white beneficiaries were found to have significantly lower response rates than their counterparts,</w:t>
      </w:r>
      <w:r w:rsidR="00C541AB">
        <w:rPr>
          <w:rStyle w:val="EndnoteReference"/>
        </w:rPr>
        <w:endnoteReference w:id="4"/>
      </w:r>
      <w:r w:rsidR="008236FA">
        <w:t xml:space="preserve"> and these findings are supported by other</w:t>
      </w:r>
      <w:r w:rsidR="00416F92">
        <w:t>, more general,</w:t>
      </w:r>
      <w:r w:rsidR="008236FA">
        <w:t xml:space="preserve"> research on survey response rates</w:t>
      </w:r>
      <w:r w:rsidR="00162997">
        <w:t xml:space="preserve"> and non</w:t>
      </w:r>
      <w:r w:rsidR="00C541AB">
        <w:t>response</w:t>
      </w:r>
      <w:r w:rsidR="008236FA">
        <w:t>.</w:t>
      </w:r>
      <w:r w:rsidR="00C541AB">
        <w:rPr>
          <w:rStyle w:val="EndnoteReference"/>
        </w:rPr>
        <w:endnoteReference w:id="5"/>
      </w:r>
      <w:r w:rsidRPr="000C0FE1" w:rsidR="00416F92">
        <w:rPr>
          <w:vertAlign w:val="superscript"/>
        </w:rPr>
        <w:t>,</w:t>
      </w:r>
      <w:r w:rsidR="00416F92">
        <w:rPr>
          <w:rStyle w:val="EndnoteReference"/>
        </w:rPr>
        <w:endnoteReference w:id="6"/>
      </w:r>
      <w:r w:rsidR="00416F92">
        <w:rPr>
          <w:vertAlign w:val="superscript"/>
        </w:rPr>
        <w:t>,</w:t>
      </w:r>
      <w:r w:rsidR="00416F92">
        <w:rPr>
          <w:rStyle w:val="EndnoteReference"/>
        </w:rPr>
        <w:endnoteReference w:id="7"/>
      </w:r>
      <w:r w:rsidR="008236FA">
        <w:t xml:space="preserve"> Moreover, </w:t>
      </w:r>
      <w:r w:rsidR="0015218E">
        <w:t xml:space="preserve">since </w:t>
      </w:r>
      <w:r w:rsidR="008236FA">
        <w:t xml:space="preserve">disabled </w:t>
      </w:r>
      <w:r w:rsidR="00BE37E3">
        <w:t xml:space="preserve">Medicare beneficiaries </w:t>
      </w:r>
      <w:r w:rsidR="0015218E">
        <w:t xml:space="preserve">have a high prevalence of chronic illness and higher rates of psychiatric and cognitive conditions than </w:t>
      </w:r>
      <w:r w:rsidR="008236FA">
        <w:t>beneficiaries who are not disabled</w:t>
      </w:r>
      <w:r w:rsidR="00CF3B20">
        <w:t>,</w:t>
      </w:r>
      <w:r w:rsidR="0015218E">
        <w:rPr>
          <w:rStyle w:val="EndnoteReference"/>
        </w:rPr>
        <w:endnoteReference w:id="8"/>
      </w:r>
      <w:r w:rsidR="00BE37E3">
        <w:t xml:space="preserve"> </w:t>
      </w:r>
      <w:r w:rsidR="009B1D75">
        <w:t xml:space="preserve">CMS </w:t>
      </w:r>
      <w:r w:rsidR="008236FA">
        <w:t>OMH anticipates that this group could be particularly difficult to recruit</w:t>
      </w:r>
      <w:r w:rsidR="003E0113">
        <w:t xml:space="preserve">. </w:t>
      </w:r>
    </w:p>
    <w:p w:rsidR="00837A17" w:rsidP="002D4D3A" w:rsidRDefault="00125BFC" w14:paraId="73E3A82A" w14:textId="58412BCC">
      <w:pPr>
        <w:spacing w:after="100" w:afterAutospacing="1"/>
      </w:pPr>
      <w:r>
        <w:t xml:space="preserve">Prior to any individual survey under </w:t>
      </w:r>
      <w:r w:rsidRPr="00162997">
        <w:t xml:space="preserve">MBECS, </w:t>
      </w:r>
      <w:r w:rsidRPr="00162997" w:rsidR="009B1D75">
        <w:t xml:space="preserve">CMS </w:t>
      </w:r>
      <w:r w:rsidRPr="00162997">
        <w:t>OMH will evaluate the population characteristics and consider whether incentives may be necessary to improve response rates</w:t>
      </w:r>
      <w:r>
        <w:t xml:space="preserve"> and reduce </w:t>
      </w:r>
      <w:r w:rsidRPr="00162997">
        <w:t xml:space="preserve">nonresponse. </w:t>
      </w:r>
      <w:r w:rsidRPr="00162997" w:rsidR="00A167C1">
        <w:t>Incentives have</w:t>
      </w:r>
      <w:r w:rsidRPr="00554487" w:rsidR="00A167C1">
        <w:t xml:space="preserve"> been shown to reduce nonresponse, primarily by reducing refusals</w:t>
      </w:r>
      <w:r w:rsidR="00A167C1">
        <w:t xml:space="preserve">. </w:t>
      </w:r>
      <w:r w:rsidR="00A61AAC">
        <w:t xml:space="preserve">The </w:t>
      </w:r>
      <w:r w:rsidR="00A167C1">
        <w:t xml:space="preserve">MBECS </w:t>
      </w:r>
      <w:r w:rsidR="00A61AAC">
        <w:t xml:space="preserve">system </w:t>
      </w:r>
      <w:r w:rsidR="00A167C1">
        <w:t xml:space="preserve">will utilize two incentive models that have been shown to increase response rates. First, respondents </w:t>
      </w:r>
      <w:r w:rsidR="00A61AAC">
        <w:t xml:space="preserve">who complete the web questionnaire within 10 days of receiving the web invitation letter </w:t>
      </w:r>
      <w:r w:rsidR="00A167C1">
        <w:t xml:space="preserve">will be given $10. Research has shown that this “early bird” incentive model positively </w:t>
      </w:r>
      <w:r w:rsidR="00C606C3">
        <w:t>affects</w:t>
      </w:r>
      <w:r w:rsidR="00A167C1">
        <w:t xml:space="preserve"> response rates across subgroups.</w:t>
      </w:r>
      <w:r w:rsidR="00A167C1">
        <w:rPr>
          <w:rStyle w:val="EndnoteReference"/>
        </w:rPr>
        <w:endnoteReference w:id="9"/>
      </w:r>
      <w:r w:rsidR="00A167C1">
        <w:t xml:space="preserve"> Further research on the use of early bird incentives has shown that </w:t>
      </w:r>
      <w:r w:rsidR="0051153B">
        <w:t>they</w:t>
      </w:r>
      <w:r w:rsidR="00A167C1">
        <w:t xml:space="preserve"> do not adversely affect data quality.</w:t>
      </w:r>
      <w:r w:rsidR="00A167C1">
        <w:rPr>
          <w:rStyle w:val="EndnoteReference"/>
        </w:rPr>
        <w:endnoteReference w:id="10"/>
      </w:r>
      <w:r w:rsidR="00A167C1">
        <w:br/>
      </w:r>
      <w:r w:rsidR="005B6C9E">
        <w:t>Second</w:t>
      </w:r>
      <w:r w:rsidR="00A167C1">
        <w:t>,</w:t>
      </w:r>
      <w:r w:rsidR="000B019F">
        <w:t xml:space="preserve"> a</w:t>
      </w:r>
      <w:r w:rsidRPr="000B019F" w:rsidR="000B019F">
        <w:t xml:space="preserve"> number of meta analyses have shown that incentives </w:t>
      </w:r>
      <w:r w:rsidR="00A167C1">
        <w:t xml:space="preserve">that </w:t>
      </w:r>
      <w:r w:rsidRPr="000B019F" w:rsidR="000B019F">
        <w:t>are non-contingent in nature and are provided with the initial survey request in a mail survey</w:t>
      </w:r>
      <w:r w:rsidR="00A167C1">
        <w:t xml:space="preserve"> also increase response rates</w:t>
      </w:r>
      <w:r w:rsidR="00CF3B20">
        <w:t>.</w:t>
      </w:r>
      <w:r w:rsidRPr="00554487" w:rsidR="00BE37E3">
        <w:rPr>
          <w:vertAlign w:val="superscript"/>
        </w:rPr>
        <w:endnoteReference w:id="11"/>
      </w:r>
      <w:r w:rsidRPr="000B019F" w:rsidR="000B019F">
        <w:rPr>
          <w:vertAlign w:val="superscript"/>
        </w:rPr>
        <w:t>,</w:t>
      </w:r>
      <w:r w:rsidR="002C0FA6">
        <w:rPr>
          <w:rStyle w:val="EndnoteReference"/>
        </w:rPr>
        <w:endnoteReference w:id="12"/>
      </w:r>
      <w:r w:rsidR="00DF7CD0">
        <w:t xml:space="preserve"> </w:t>
      </w:r>
      <w:r w:rsidR="00583027">
        <w:t>A $2 pre-paid incentive has been shown to effective</w:t>
      </w:r>
      <w:r w:rsidR="005B6C9E">
        <w:t>ly</w:t>
      </w:r>
      <w:r w:rsidR="00583027">
        <w:t xml:space="preserve"> increase overall response rate as well as the response rate across racial and ethnic strata</w:t>
      </w:r>
      <w:r w:rsidR="00CF3B20">
        <w:t>.</w:t>
      </w:r>
      <w:r w:rsidR="00583027">
        <w:rPr>
          <w:rStyle w:val="EndnoteReference"/>
        </w:rPr>
        <w:endnoteReference w:id="13"/>
      </w:r>
      <w:r w:rsidR="00940A05">
        <w:t xml:space="preserve"> </w:t>
      </w:r>
      <w:r w:rsidR="00583027">
        <w:t>In order to</w:t>
      </w:r>
      <w:r w:rsidRPr="00554487" w:rsidR="00583027">
        <w:t xml:space="preserve"> </w:t>
      </w:r>
      <w:r w:rsidR="00186C6F">
        <w:t xml:space="preserve">minimize nonresponse, </w:t>
      </w:r>
      <w:r w:rsidR="00583027">
        <w:t xml:space="preserve">the </w:t>
      </w:r>
      <w:r w:rsidRPr="00554487" w:rsidR="00583027">
        <w:t>first</w:t>
      </w:r>
      <w:r w:rsidR="005B6C9E">
        <w:t xml:space="preserve"> MBECS SAQ</w:t>
      </w:r>
      <w:r w:rsidRPr="00554487" w:rsidR="00583027">
        <w:t xml:space="preserve"> mailing</w:t>
      </w:r>
      <w:r w:rsidR="00583027">
        <w:t xml:space="preserve"> will include a $2 pre-paid incentive</w:t>
      </w:r>
      <w:r w:rsidRPr="00554487" w:rsidR="00583027">
        <w:t>.</w:t>
      </w:r>
      <w:r w:rsidR="00940A05">
        <w:t xml:space="preserve"> </w:t>
      </w:r>
    </w:p>
    <w:p w:rsidRPr="00412C6F" w:rsidR="009B633D" w:rsidP="00A21201" w:rsidRDefault="009B633D" w14:paraId="39B8D206" w14:textId="77777777">
      <w:pPr>
        <w:pStyle w:val="Heading2"/>
      </w:pPr>
      <w:bookmarkStart w:name="_Toc151782185" w:id="42"/>
      <w:bookmarkStart w:name="_Toc158526225" w:id="43"/>
      <w:bookmarkStart w:name="_Toc82433698" w:id="44"/>
      <w:r w:rsidRPr="00412C6F">
        <w:t>10. Assurance of Confidentiality</w:t>
      </w:r>
      <w:bookmarkEnd w:id="42"/>
      <w:bookmarkEnd w:id="43"/>
      <w:bookmarkEnd w:id="44"/>
    </w:p>
    <w:p w:rsidR="00910D5A" w:rsidP="00910D5A" w:rsidRDefault="00910D5A" w14:paraId="42DCAD0B" w14:textId="77777777">
      <w:pPr>
        <w:ind w:left="-5"/>
        <w:rPr>
          <w:szCs w:val="22"/>
        </w:rPr>
      </w:pPr>
      <w:r>
        <w:t xml:space="preserve">On February 14, 2018, CMS published in the Federal Register a notice of a modified or altered System of Record (SOR) (System No. 09-70-0519). The notice was published in 83 Federal Register 6591. </w:t>
      </w:r>
    </w:p>
    <w:p w:rsidR="00F66A1B" w:rsidP="002D4D3A" w:rsidRDefault="00F66A1B" w14:paraId="42EBE8FF" w14:textId="77777777">
      <w:pPr>
        <w:spacing w:after="100" w:afterAutospacing="1"/>
      </w:pPr>
    </w:p>
    <w:p w:rsidR="004433A7" w:rsidP="002D4D3A" w:rsidRDefault="004433A7" w14:paraId="025E0CF3" w14:textId="639E172C">
      <w:pPr>
        <w:spacing w:after="100" w:afterAutospacing="1"/>
      </w:pPr>
      <w:r>
        <w:t xml:space="preserve">The </w:t>
      </w:r>
      <w:r w:rsidR="007D62A1">
        <w:t>web invitation letter</w:t>
      </w:r>
      <w:r w:rsidR="001A35F6">
        <w:t>s</w:t>
      </w:r>
      <w:r w:rsidR="007B2403">
        <w:t xml:space="preserve"> </w:t>
      </w:r>
      <w:r w:rsidR="000E020C">
        <w:t xml:space="preserve">for surveys conducted under the MBECS system </w:t>
      </w:r>
      <w:r w:rsidR="001A35F6">
        <w:t>will include the following text</w:t>
      </w:r>
      <w:r>
        <w:t>:</w:t>
      </w:r>
    </w:p>
    <w:p w:rsidR="004433A7" w:rsidP="00A21201" w:rsidRDefault="007B2403" w14:paraId="01F7B5D7" w14:textId="097358E7">
      <w:pPr>
        <w:spacing w:after="240"/>
        <w:ind w:left="720"/>
        <w:rPr>
          <w:b/>
        </w:rPr>
      </w:pPr>
      <w:r>
        <w:t>All information you provide will be held in confidence by CMS and is protected by the Privacy Act</w:t>
      </w:r>
      <w:r w:rsidR="005F701C">
        <w:t xml:space="preserve"> of 1974</w:t>
      </w:r>
      <w:r>
        <w:t xml:space="preserve">. </w:t>
      </w:r>
      <w:r>
        <w:rPr>
          <w:b/>
        </w:rPr>
        <w:t>You do not have to participate in this survey. Your help is voluntary, and your decision to participate or not to participate will have no effect on your Medicare or Medicaid benefits.</w:t>
      </w:r>
    </w:p>
    <w:p w:rsidRPr="007D62A1" w:rsidR="007D62A1" w:rsidP="002D4D3A" w:rsidRDefault="007D62A1" w14:paraId="26A2BDD4" w14:textId="449F4F10">
      <w:pPr>
        <w:spacing w:after="100" w:afterAutospacing="1"/>
      </w:pPr>
      <w:r w:rsidRPr="007D62A1">
        <w:t>This text will also appear on the first screen of the web survey.</w:t>
      </w:r>
    </w:p>
    <w:p w:rsidR="00CF3B20" w:rsidP="002D4D3A" w:rsidRDefault="00AD4335" w14:paraId="1C882855" w14:textId="29A8D92A">
      <w:pPr>
        <w:spacing w:after="100" w:afterAutospacing="1"/>
      </w:pPr>
      <w:r>
        <w:lastRenderedPageBreak/>
        <w:t>Similarly</w:t>
      </w:r>
      <w:r w:rsidR="004433A7">
        <w:t>, the cover letters</w:t>
      </w:r>
      <w:r w:rsidR="00717E76">
        <w:t xml:space="preserve"> </w:t>
      </w:r>
      <w:r w:rsidR="004433A7">
        <w:t>that accompany the self-administered questionnaires (SAQ</w:t>
      </w:r>
      <w:r w:rsidR="00837A17">
        <w:t>s</w:t>
      </w:r>
      <w:r w:rsidR="004433A7">
        <w:t xml:space="preserve">) </w:t>
      </w:r>
      <w:r w:rsidR="001A35F6">
        <w:t xml:space="preserve">will </w:t>
      </w:r>
      <w:r w:rsidR="004433A7">
        <w:t>state:</w:t>
      </w:r>
    </w:p>
    <w:p w:rsidRPr="001B27FB" w:rsidR="004433A7" w:rsidP="00A21201" w:rsidRDefault="001B27FB" w14:paraId="6B1472B3" w14:textId="292655FC">
      <w:pPr>
        <w:spacing w:after="240"/>
        <w:ind w:left="720"/>
        <w:rPr>
          <w:szCs w:val="22"/>
        </w:rPr>
      </w:pPr>
      <w:r>
        <w:t>All information you provide will be held in confidence by CMS and is protected by the Privacy Act</w:t>
      </w:r>
      <w:r w:rsidR="005F701C">
        <w:t xml:space="preserve"> of 1974</w:t>
      </w:r>
      <w:r>
        <w:t xml:space="preserve">. The information you provide will not be shared with anyone other than authorized persons at CMS and NORC at the University of Chicago, the non-profit research organization assisting us in this survey. </w:t>
      </w:r>
      <w:r>
        <w:rPr>
          <w:b/>
        </w:rPr>
        <w:t xml:space="preserve">You do not have to participate in this survey. Your help is voluntary and your decision to participate or not participate will not affect your Medicare or Medicaid benefits in any way. </w:t>
      </w:r>
      <w:r>
        <w:t>However, your knowledge and experiences will help CMS better serve people like you, so we hope you will choose to help us.</w:t>
      </w:r>
    </w:p>
    <w:p w:rsidR="00591FC8" w:rsidP="002D4D3A" w:rsidRDefault="00591FC8" w14:paraId="77FE8136" w14:textId="5937FEEF">
      <w:pPr>
        <w:spacing w:after="100" w:afterAutospacing="1"/>
      </w:pPr>
      <w:r>
        <w:t>For the web survey portion of the data collection effort, respondents will see the following informed consent statement before beginning the questions:</w:t>
      </w:r>
    </w:p>
    <w:p w:rsidR="00591FC8" w:rsidP="00A21201" w:rsidRDefault="00591FC8" w14:paraId="78E2E7A0" w14:textId="77777777">
      <w:pPr>
        <w:pStyle w:val="BulletLevel1"/>
      </w:pPr>
      <w:r>
        <w:t xml:space="preserve">The </w:t>
      </w:r>
      <w:r w:rsidRPr="00591FC8">
        <w:t>Centers for Medicare and Medicaid Services</w:t>
      </w:r>
      <w:r>
        <w:t xml:space="preserve"> (CMS) is</w:t>
      </w:r>
      <w:r w:rsidRPr="00591FC8">
        <w:t xml:space="preserve"> the federal agency that administers the Medicare and Medicaid programs. </w:t>
      </w:r>
    </w:p>
    <w:p w:rsidR="00591FC8" w:rsidP="00A21201" w:rsidRDefault="00591FC8" w14:paraId="3C8D36E1" w14:textId="5F5FC148">
      <w:pPr>
        <w:pStyle w:val="BulletLevel1"/>
      </w:pPr>
      <w:r w:rsidRPr="00591FC8">
        <w:t>CMS</w:t>
      </w:r>
      <w:r w:rsidR="00C32579">
        <w:t xml:space="preserve"> OMH</w:t>
      </w:r>
      <w:r w:rsidRPr="00591FC8">
        <w:t xml:space="preserve"> is conducting this survey of </w:t>
      </w:r>
      <w:r w:rsidRPr="00591FC8" w:rsidR="005B6C9E">
        <w:t>Medic</w:t>
      </w:r>
      <w:r w:rsidR="005B6C9E">
        <w:t>are</w:t>
      </w:r>
      <w:r w:rsidRPr="00591FC8" w:rsidR="005B6C9E">
        <w:t xml:space="preserve"> </w:t>
      </w:r>
      <w:r w:rsidR="00E95E30">
        <w:t xml:space="preserve">beneficiaries </w:t>
      </w:r>
      <w:r w:rsidRPr="00591FC8">
        <w:t xml:space="preserve">to learn more about the care and services they receive. </w:t>
      </w:r>
    </w:p>
    <w:p w:rsidR="00591FC8" w:rsidP="00A21201" w:rsidRDefault="00591FC8" w14:paraId="7C1A1DDF" w14:textId="0B3E9EEE">
      <w:pPr>
        <w:pStyle w:val="BulletLevel1"/>
      </w:pPr>
      <w:r w:rsidRPr="00591FC8">
        <w:t>Your name was scientifically selected by CMS</w:t>
      </w:r>
      <w:r w:rsidR="00C32579">
        <w:t xml:space="preserve"> OMH</w:t>
      </w:r>
      <w:r w:rsidRPr="00591FC8">
        <w:t xml:space="preserve"> from among enrollees</w:t>
      </w:r>
      <w:r>
        <w:t xml:space="preserve">. </w:t>
      </w:r>
    </w:p>
    <w:p w:rsidR="00591FC8" w:rsidP="00A21201" w:rsidRDefault="00591FC8" w14:paraId="5C41E5FD" w14:textId="249C941F">
      <w:pPr>
        <w:pStyle w:val="BulletLevel1"/>
      </w:pPr>
      <w:r>
        <w:t xml:space="preserve">The results of this survey </w:t>
      </w:r>
      <w:r w:rsidRPr="00D25BD6">
        <w:t xml:space="preserve">will help make health care better for everyone. </w:t>
      </w:r>
      <w:r>
        <w:t xml:space="preserve"> </w:t>
      </w:r>
    </w:p>
    <w:p w:rsidRPr="00591FC8" w:rsidR="00591FC8" w:rsidP="00A21201" w:rsidRDefault="00591FC8" w14:paraId="49A8BA16" w14:textId="628185A7">
      <w:pPr>
        <w:pStyle w:val="BulletLevel1"/>
      </w:pPr>
      <w:r w:rsidRPr="00591FC8">
        <w:t>Your participation in this survey is voluntary. All information you provide will be held in confidence and is protected by the Privacy Act</w:t>
      </w:r>
      <w:r w:rsidR="005F701C">
        <w:t xml:space="preserve"> of 1974</w:t>
      </w:r>
      <w:r w:rsidRPr="00591FC8">
        <w:t xml:space="preserve">. </w:t>
      </w:r>
    </w:p>
    <w:p w:rsidR="00A21201" w:rsidP="00555582" w:rsidRDefault="00591FC8" w14:paraId="35E663CC" w14:textId="77777777">
      <w:pPr>
        <w:pStyle w:val="BulletLevel1"/>
        <w:spacing w:after="100" w:afterAutospacing="1"/>
      </w:pPr>
      <w:r>
        <w:t>Y</w:t>
      </w:r>
      <w:r w:rsidRPr="00591FC8">
        <w:t xml:space="preserve">our decision to participate or not to participate will not affect your </w:t>
      </w:r>
      <w:r w:rsidR="000B7493">
        <w:t>Medicare</w:t>
      </w:r>
      <w:r w:rsidR="00E95E30">
        <w:t xml:space="preserve"> </w:t>
      </w:r>
      <w:r w:rsidRPr="00591FC8">
        <w:t>benefits in any way. However, your knowledge and experiences will help other people make more informed choices</w:t>
      </w:r>
      <w:r>
        <w:t>.</w:t>
      </w:r>
    </w:p>
    <w:p w:rsidR="008F0B8B" w:rsidP="00A21201" w:rsidRDefault="00AD4335" w14:paraId="1AD79507" w14:textId="628F6A24">
      <w:pPr>
        <w:pStyle w:val="BodyText"/>
      </w:pPr>
      <w:r>
        <w:t>For the telephone portion of the data collection effort, interviewers will read the following informed consent statement to potential respondents</w:t>
      </w:r>
      <w:r w:rsidR="009A09B4">
        <w:t xml:space="preserve">, which will be included in the interviewer </w:t>
      </w:r>
      <w:r w:rsidR="000A35BE">
        <w:t xml:space="preserve">introductory </w:t>
      </w:r>
      <w:r w:rsidR="009A09B4">
        <w:t>script</w:t>
      </w:r>
      <w:r>
        <w:t>:</w:t>
      </w:r>
    </w:p>
    <w:p w:rsidRPr="008A2335" w:rsidR="008A2335" w:rsidP="00A21201" w:rsidRDefault="008A2335" w14:paraId="7D9DE441" w14:textId="6A212EBC">
      <w:pPr>
        <w:autoSpaceDE w:val="0"/>
        <w:autoSpaceDN w:val="0"/>
        <w:adjustRightInd w:val="0"/>
        <w:spacing w:after="240"/>
        <w:ind w:left="720"/>
        <w:rPr>
          <w:color w:val="000000"/>
        </w:rPr>
      </w:pPr>
      <w:r>
        <w:rPr>
          <w:color w:val="000000"/>
        </w:rPr>
        <w:t>“</w:t>
      </w:r>
      <w:r w:rsidRPr="008A2335">
        <w:rPr>
          <w:color w:val="000000"/>
        </w:rPr>
        <w:t xml:space="preserve">The interview is voluntary. Your answers will be kept private, and will not affect your </w:t>
      </w:r>
      <w:r w:rsidR="000B7493">
        <w:rPr>
          <w:color w:val="000000"/>
        </w:rPr>
        <w:t>Medicare</w:t>
      </w:r>
      <w:r w:rsidRPr="008A2335">
        <w:rPr>
          <w:color w:val="000000"/>
        </w:rPr>
        <w:t xml:space="preserve"> benefits in any way.</w:t>
      </w:r>
    </w:p>
    <w:p w:rsidRPr="008A2335" w:rsidR="008A2335" w:rsidP="00A21201" w:rsidRDefault="008A2335" w14:paraId="1E648C4C" w14:textId="182D3936">
      <w:pPr>
        <w:autoSpaceDE w:val="0"/>
        <w:autoSpaceDN w:val="0"/>
        <w:adjustRightInd w:val="0"/>
        <w:spacing w:after="240"/>
        <w:ind w:left="720"/>
        <w:rPr>
          <w:color w:val="000000"/>
        </w:rPr>
      </w:pPr>
      <w:r w:rsidRPr="008A2335">
        <w:rPr>
          <w:color w:val="000000"/>
        </w:rPr>
        <w:t>Your name was selected by CMS</w:t>
      </w:r>
      <w:r w:rsidR="00C32579">
        <w:rPr>
          <w:color w:val="000000"/>
        </w:rPr>
        <w:t xml:space="preserve"> OMH</w:t>
      </w:r>
      <w:r w:rsidRPr="008A2335">
        <w:rPr>
          <w:color w:val="000000"/>
        </w:rPr>
        <w:t xml:space="preserve"> from among people with Medicare. </w:t>
      </w:r>
    </w:p>
    <w:p w:rsidRPr="008A2335" w:rsidR="008A2335" w:rsidP="00A21201" w:rsidRDefault="008A2335" w14:paraId="13DE7547" w14:textId="7F0A0102">
      <w:pPr>
        <w:autoSpaceDE w:val="0"/>
        <w:autoSpaceDN w:val="0"/>
        <w:adjustRightInd w:val="0"/>
        <w:spacing w:after="240"/>
        <w:ind w:left="720"/>
        <w:rPr>
          <w:color w:val="000000"/>
        </w:rPr>
      </w:pPr>
      <w:r w:rsidRPr="008A2335">
        <w:rPr>
          <w:color w:val="000000"/>
        </w:rPr>
        <w:t>[IF THE RESPONDENT WOULD LIKE MORE INFORMATION: This survey is sponsored by the Centers for Medicare and Medicaid Services, CMS, which is the federal agency that administers the Medicare and Medicaid programs. CMS</w:t>
      </w:r>
      <w:r w:rsidR="00C32579">
        <w:rPr>
          <w:color w:val="000000"/>
        </w:rPr>
        <w:t xml:space="preserve"> OMH</w:t>
      </w:r>
      <w:r w:rsidRPr="008A2335">
        <w:rPr>
          <w:color w:val="000000"/>
        </w:rPr>
        <w:t xml:space="preserve"> is conducting this survey of people with Medicare to learn more about the care and services they receive. Your name was scientifically selected by CMS</w:t>
      </w:r>
      <w:r w:rsidR="00C32579">
        <w:rPr>
          <w:color w:val="000000"/>
        </w:rPr>
        <w:t xml:space="preserve"> OMH</w:t>
      </w:r>
      <w:r w:rsidRPr="008A2335">
        <w:rPr>
          <w:color w:val="000000"/>
        </w:rPr>
        <w:t xml:space="preserve"> from among enrollees.] </w:t>
      </w:r>
    </w:p>
    <w:p w:rsidRPr="008A2335" w:rsidR="008A2335" w:rsidP="00A21201" w:rsidRDefault="008A2335" w14:paraId="0BB4732A" w14:textId="77777777">
      <w:pPr>
        <w:autoSpaceDE w:val="0"/>
        <w:autoSpaceDN w:val="0"/>
        <w:adjustRightInd w:val="0"/>
        <w:spacing w:after="240"/>
        <w:ind w:left="720"/>
        <w:rPr>
          <w:color w:val="000000"/>
        </w:rPr>
      </w:pPr>
      <w:r w:rsidRPr="008A2335">
        <w:rPr>
          <w:color w:val="000000"/>
        </w:rPr>
        <w:t>We would greatly appreciate it if you would take the time, about 20 minutes, to participate in this survey.</w:t>
      </w:r>
    </w:p>
    <w:p w:rsidRPr="008A2335" w:rsidR="008A2335" w:rsidP="00A21201" w:rsidRDefault="008A2335" w14:paraId="77AC423C" w14:textId="491452C5">
      <w:pPr>
        <w:autoSpaceDE w:val="0"/>
        <w:autoSpaceDN w:val="0"/>
        <w:adjustRightInd w:val="0"/>
        <w:spacing w:after="240"/>
        <w:ind w:left="720"/>
        <w:rPr>
          <w:color w:val="000000"/>
        </w:rPr>
      </w:pPr>
      <w:r w:rsidRPr="008A2335">
        <w:rPr>
          <w:color w:val="000000"/>
        </w:rPr>
        <w:lastRenderedPageBreak/>
        <w:t>[IF THE RESPONDENT WOULD LIKE MORE INFORMATION: Your participation in this survey is voluntary. All information you provide will be held in confidence and is protected by the Privacy Act</w:t>
      </w:r>
      <w:r w:rsidR="005F701C">
        <w:rPr>
          <w:color w:val="000000"/>
        </w:rPr>
        <w:t xml:space="preserve"> of 1974</w:t>
      </w:r>
      <w:r w:rsidRPr="008A2335">
        <w:rPr>
          <w:color w:val="000000"/>
        </w:rPr>
        <w:t>. You do not have to participate in this survey. Your decision to participate or not to participate will not affect your benefits in any way. However, your knowledge and experiences will help other people make more informed choices, so we hope you will choose to help us.]</w:t>
      </w:r>
    </w:p>
    <w:p w:rsidRPr="00591FC8" w:rsidR="00591FC8" w:rsidP="00A21201" w:rsidRDefault="008A2335" w14:paraId="61C516F7" w14:textId="3C2DEF54">
      <w:pPr>
        <w:autoSpaceDE w:val="0"/>
        <w:autoSpaceDN w:val="0"/>
        <w:adjustRightInd w:val="0"/>
        <w:spacing w:after="240"/>
        <w:ind w:left="720"/>
      </w:pPr>
      <w:r w:rsidRPr="008A2335">
        <w:rPr>
          <w:color w:val="000000"/>
        </w:rPr>
        <w:t>This call may be recorded or monitored</w:t>
      </w:r>
      <w:r w:rsidR="007B6378">
        <w:rPr>
          <w:color w:val="000000"/>
        </w:rPr>
        <w:t xml:space="preserve"> for quality assurance purposes</w:t>
      </w:r>
      <w:r>
        <w:rPr>
          <w:color w:val="000000"/>
        </w:rPr>
        <w:t>.”</w:t>
      </w:r>
    </w:p>
    <w:p w:rsidR="004433A7" w:rsidP="002D4D3A" w:rsidRDefault="001B27FB" w14:paraId="059B1AD6" w14:textId="3839184D">
      <w:pPr>
        <w:pStyle w:val="BodyText"/>
      </w:pPr>
      <w:r>
        <w:t>Finally, a</w:t>
      </w:r>
      <w:r w:rsidR="004433A7">
        <w:t>ny data published</w:t>
      </w:r>
      <w:r w:rsidR="00E95E30">
        <w:t xml:space="preserve"> </w:t>
      </w:r>
      <w:r w:rsidR="004433A7">
        <w:t>will exclude information that might lead to the identification of</w:t>
      </w:r>
      <w:r w:rsidR="004433A7">
        <w:rPr>
          <w:spacing w:val="-22"/>
        </w:rPr>
        <w:t xml:space="preserve"> </w:t>
      </w:r>
      <w:r w:rsidR="004433A7">
        <w:t>specific individuals.</w:t>
      </w:r>
      <w:r w:rsidR="00D90C9E">
        <w:t xml:space="preserve"> Personal identifiable information (PII) (name, address, social security number, phone numbers) will be stored separately from questionnaire response data, and accessible only to the contractor personnel working on data collection activities. PII will be used only to locate and contact respondents; PII will not be included in the final files or reports</w:t>
      </w:r>
      <w:r w:rsidRPr="00F82C92" w:rsidR="00D90C9E">
        <w:t xml:space="preserve"> </w:t>
      </w:r>
      <w:r w:rsidR="00D90C9E">
        <w:t>and will be destroyed within 30 days of the completion of the project.</w:t>
      </w:r>
    </w:p>
    <w:p w:rsidRPr="00412C6F" w:rsidR="009B633D" w:rsidP="00A21201" w:rsidRDefault="009B633D" w14:paraId="24980C02" w14:textId="03400F28">
      <w:pPr>
        <w:pStyle w:val="Heading2"/>
      </w:pPr>
      <w:bookmarkStart w:name="_Toc151782186" w:id="45"/>
      <w:bookmarkStart w:name="_Toc158526226" w:id="46"/>
      <w:bookmarkStart w:name="_Toc82433699" w:id="47"/>
      <w:r w:rsidRPr="00412C6F">
        <w:t>11. Questions of a Sensitive Nature</w:t>
      </w:r>
      <w:bookmarkEnd w:id="45"/>
      <w:bookmarkEnd w:id="46"/>
      <w:bookmarkEnd w:id="47"/>
      <w:r w:rsidR="006A710C">
        <w:t xml:space="preserve"> </w:t>
      </w:r>
    </w:p>
    <w:p w:rsidR="00E0383F" w:rsidP="002D4D3A" w:rsidRDefault="004F7877" w14:paraId="72B68113" w14:textId="62722B9C">
      <w:pPr>
        <w:pStyle w:val="BodyText"/>
      </w:pPr>
      <w:r>
        <w:t xml:space="preserve">The </w:t>
      </w:r>
      <w:r w:rsidR="00466F54">
        <w:t xml:space="preserve">MBECS </w:t>
      </w:r>
      <w:r w:rsidR="00E95E30">
        <w:t xml:space="preserve">core </w:t>
      </w:r>
      <w:r w:rsidR="000B7493">
        <w:t xml:space="preserve">questionnaire </w:t>
      </w:r>
      <w:r w:rsidR="009D7364">
        <w:t xml:space="preserve">asks about </w:t>
      </w:r>
      <w:r w:rsidRPr="009D7364" w:rsidR="009D7364">
        <w:rPr>
          <w:bCs/>
        </w:rPr>
        <w:t xml:space="preserve">minority Medicare beneficiaries’ </w:t>
      </w:r>
      <w:r w:rsidRPr="009D7364" w:rsidR="009D7364">
        <w:t xml:space="preserve">communication with medical professionals, coordination of health care, experiences getting needed health care, and experiences with personal </w:t>
      </w:r>
      <w:r w:rsidR="00615CDD">
        <w:t>health care providers</w:t>
      </w:r>
      <w:r w:rsidRPr="009D7364" w:rsidR="00615CDD">
        <w:t xml:space="preserve"> </w:t>
      </w:r>
      <w:r w:rsidRPr="009D7364" w:rsidR="009D7364">
        <w:t>and specialists</w:t>
      </w:r>
      <w:r w:rsidR="009D7364">
        <w:t>. These topics are not considered sensitive.</w:t>
      </w:r>
      <w:r w:rsidR="0032398B">
        <w:t xml:space="preserve"> </w:t>
      </w:r>
    </w:p>
    <w:p w:rsidR="00D61338" w:rsidP="002D4D3A" w:rsidRDefault="00E0383F" w14:paraId="78117886" w14:textId="61ECAABF">
      <w:pPr>
        <w:pStyle w:val="BodyText"/>
      </w:pPr>
      <w:r>
        <w:t>Depending on the selected population of interest, the research questions to be answered with the population-specific modules, and the data sources from which questions are pulled, questions could be considered sensitive in nature. When submitting specific collection requests for review, we will include any questions for the population-specific module that could be considered sensitive in nature.</w:t>
      </w:r>
    </w:p>
    <w:p w:rsidRPr="00412C6F" w:rsidR="009B633D" w:rsidP="00A21201" w:rsidRDefault="009B633D" w14:paraId="12388C67" w14:textId="0416293F">
      <w:pPr>
        <w:pStyle w:val="Heading2"/>
      </w:pPr>
      <w:bookmarkStart w:name="_Toc151782187" w:id="48"/>
      <w:bookmarkStart w:name="_Toc158526227" w:id="49"/>
      <w:bookmarkStart w:name="_Toc82433700" w:id="50"/>
      <w:r w:rsidRPr="00412C6F">
        <w:t xml:space="preserve">12. Estimates of </w:t>
      </w:r>
      <w:r w:rsidR="003B3D4D">
        <w:t>Individual Population of Interest</w:t>
      </w:r>
      <w:r w:rsidRPr="00412C6F" w:rsidR="003B3D4D">
        <w:t xml:space="preserve"> </w:t>
      </w:r>
      <w:r w:rsidR="00437AF6">
        <w:t xml:space="preserve">and Total </w:t>
      </w:r>
      <w:r w:rsidRPr="00412C6F">
        <w:t>Burden Hours and Costs</w:t>
      </w:r>
      <w:bookmarkEnd w:id="48"/>
      <w:bookmarkEnd w:id="49"/>
      <w:bookmarkEnd w:id="50"/>
    </w:p>
    <w:p w:rsidRPr="002F33CD" w:rsidR="00E16AC7" w:rsidP="002D4D3A" w:rsidRDefault="00356D4B" w14:paraId="2C56A048" w14:textId="41F5D263">
      <w:pPr>
        <w:pStyle w:val="BodyText"/>
      </w:pPr>
      <w:r>
        <w:t xml:space="preserve">Each </w:t>
      </w:r>
      <w:r w:rsidR="00437AF6">
        <w:t xml:space="preserve">of the proposed </w:t>
      </w:r>
      <w:r w:rsidR="000E020C">
        <w:t>MBECS questionnaire</w:t>
      </w:r>
      <w:r w:rsidR="00437AF6">
        <w:t>s</w:t>
      </w:r>
      <w:r w:rsidR="000E020C">
        <w:t xml:space="preserve"> </w:t>
      </w:r>
      <w:r w:rsidR="00437AF6">
        <w:t xml:space="preserve">are </w:t>
      </w:r>
      <w:r w:rsidR="000E020C">
        <w:t xml:space="preserve">estimated to average 20 minutes </w:t>
      </w:r>
      <w:r w:rsidR="00437AF6">
        <w:t xml:space="preserve">to complete a </w:t>
      </w:r>
      <w:r w:rsidR="000E020C">
        <w:t>survey</w:t>
      </w:r>
      <w:r w:rsidR="00AD06A9">
        <w:t>, across all modes of administration</w:t>
      </w:r>
      <w:r w:rsidR="000E020C">
        <w:t xml:space="preserve">. </w:t>
      </w:r>
      <w:r w:rsidR="00AD06A9">
        <w:t>This estimate is based on the estimated administration time for the 2016 FFS CAHPS questionnaire,</w:t>
      </w:r>
      <w:r w:rsidR="002F263D">
        <w:rPr>
          <w:rStyle w:val="EndnoteReference"/>
        </w:rPr>
        <w:endnoteReference w:id="14"/>
      </w:r>
      <w:r w:rsidR="00AD06A9">
        <w:t xml:space="preserve"> since the MBECS questionnaire is similar in content and </w:t>
      </w:r>
      <w:r w:rsidR="002F263D">
        <w:t>length</w:t>
      </w:r>
      <w:r w:rsidR="00AD06A9">
        <w:t xml:space="preserve">. </w:t>
      </w:r>
      <w:r w:rsidR="0062198E">
        <w:t xml:space="preserve">The number of completed surveys will vary by the sample size requirements of </w:t>
      </w:r>
      <w:r>
        <w:t xml:space="preserve">each </w:t>
      </w:r>
      <w:r w:rsidR="0062198E">
        <w:t>minority population</w:t>
      </w:r>
      <w:r w:rsidR="003D431C">
        <w:t>s</w:t>
      </w:r>
      <w:r w:rsidR="0062198E">
        <w:t xml:space="preserve"> of interest. The estimates included below in based on current data sources and are therefore subject to change. Updated estimates will be provided for each specific population of interest when submitting individual collections requests. CMS OMH es</w:t>
      </w:r>
      <w:r w:rsidR="0074032E">
        <w:t xml:space="preserve">timates that </w:t>
      </w:r>
      <w:r w:rsidRPr="002F33CD" w:rsidR="0074032E">
        <w:t xml:space="preserve">approximately </w:t>
      </w:r>
      <w:r>
        <w:t>13,000</w:t>
      </w:r>
      <w:r w:rsidR="002F33CD">
        <w:t xml:space="preserve"> </w:t>
      </w:r>
      <w:r w:rsidRPr="002F33CD" w:rsidR="0062198E">
        <w:t xml:space="preserve">respondents will complete </w:t>
      </w:r>
      <w:r w:rsidR="002F33CD">
        <w:t xml:space="preserve">the </w:t>
      </w:r>
      <w:r w:rsidRPr="002F33CD" w:rsidR="0062198E">
        <w:t xml:space="preserve">surveys, </w:t>
      </w:r>
      <w:r w:rsidRPr="002F33CD" w:rsidR="00BD52A9">
        <w:t>over the course of a three</w:t>
      </w:r>
      <w:r w:rsidR="00B90BEB">
        <w:t>-</w:t>
      </w:r>
      <w:r w:rsidRPr="002F33CD" w:rsidR="00BD52A9">
        <w:t>year period</w:t>
      </w:r>
      <w:r w:rsidRPr="002F33CD" w:rsidR="0062198E">
        <w:t>. For the purposes of calculating</w:t>
      </w:r>
      <w:r w:rsidR="0062198E">
        <w:t xml:space="preserve"> annualized burden, a maximum expected number o</w:t>
      </w:r>
      <w:r w:rsidR="0074032E">
        <w:t xml:space="preserve">f </w:t>
      </w:r>
      <w:r w:rsidR="002F33CD">
        <w:t>one</w:t>
      </w:r>
      <w:r w:rsidR="003D431C">
        <w:t xml:space="preserve"> survey</w:t>
      </w:r>
      <w:r w:rsidR="0062198E">
        <w:t xml:space="preserve"> </w:t>
      </w:r>
      <w:r w:rsidR="002F33CD">
        <w:t xml:space="preserve">per year </w:t>
      </w:r>
      <w:r w:rsidR="00BD52A9">
        <w:t>over the three</w:t>
      </w:r>
      <w:r w:rsidR="00F66A1B">
        <w:t>-</w:t>
      </w:r>
      <w:r w:rsidR="00BD52A9">
        <w:t>year period</w:t>
      </w:r>
      <w:r w:rsidR="0062198E">
        <w:t xml:space="preserve"> has been used, </w:t>
      </w:r>
      <w:r w:rsidRPr="002C0FA6" w:rsidR="0062198E">
        <w:t xml:space="preserve">with an average response of </w:t>
      </w:r>
      <w:r w:rsidRPr="001B72E6" w:rsidR="0062198E">
        <w:t>.33 hours (20 minutes)</w:t>
      </w:r>
      <w:r w:rsidR="0062198E">
        <w:t>,</w:t>
      </w:r>
      <w:r w:rsidRPr="002C0FA6" w:rsidR="0062198E">
        <w:t xml:space="preserve"> for </w:t>
      </w:r>
      <w:r w:rsidR="00916581">
        <w:t>a</w:t>
      </w:r>
      <w:r w:rsidR="002F33CD">
        <w:t xml:space="preserve">pproximately </w:t>
      </w:r>
      <w:r>
        <w:t xml:space="preserve">1,430 </w:t>
      </w:r>
      <w:r w:rsidR="002F33CD">
        <w:t>annual</w:t>
      </w:r>
      <w:r w:rsidR="00B84320">
        <w:t>ized</w:t>
      </w:r>
      <w:r w:rsidR="002F33CD">
        <w:t xml:space="preserve"> burden hours </w:t>
      </w:r>
      <w:r>
        <w:t>each year</w:t>
      </w:r>
      <w:r w:rsidR="002F33CD">
        <w:t xml:space="preserve">. </w:t>
      </w:r>
      <w:r w:rsidR="0062198E">
        <w:t xml:space="preserve"> </w:t>
      </w:r>
    </w:p>
    <w:p w:rsidRPr="00916581" w:rsidR="00B675E1" w:rsidP="002D4D3A" w:rsidRDefault="0099335F" w14:paraId="60BCE2DD" w14:textId="752602C2">
      <w:pPr>
        <w:pStyle w:val="BodyText"/>
      </w:pPr>
      <w:r>
        <w:t>Table</w:t>
      </w:r>
      <w:r w:rsidRPr="002C0FA6">
        <w:t xml:space="preserve"> </w:t>
      </w:r>
      <w:r w:rsidR="00105011">
        <w:t>1</w:t>
      </w:r>
      <w:r w:rsidRPr="002C0FA6" w:rsidR="002C0FA6">
        <w:t xml:space="preserve"> below shows the estimate</w:t>
      </w:r>
      <w:r w:rsidR="00192EA6">
        <w:t>d</w:t>
      </w:r>
      <w:r w:rsidRPr="002C0FA6" w:rsidR="002C0FA6">
        <w:t xml:space="preserve"> total burden hours </w:t>
      </w:r>
      <w:r w:rsidR="00437AF6">
        <w:t xml:space="preserve">across the three years of data collection </w:t>
      </w:r>
      <w:r w:rsidRPr="002C0FA6" w:rsidR="002C0FA6">
        <w:t xml:space="preserve">for </w:t>
      </w:r>
      <w:r w:rsidR="00B675E1">
        <w:t xml:space="preserve">the </w:t>
      </w:r>
      <w:r w:rsidR="00437AF6">
        <w:t xml:space="preserve">umbrella </w:t>
      </w:r>
      <w:r w:rsidR="00B675E1">
        <w:t>MBECS data collection system</w:t>
      </w:r>
      <w:r w:rsidR="002F33CD">
        <w:t>, assuming an</w:t>
      </w:r>
      <w:r w:rsidR="00DE2ED0">
        <w:t xml:space="preserve"> average of one survey conducted per year</w:t>
      </w:r>
      <w:r w:rsidR="00B675E1">
        <w:t xml:space="preserve">. </w:t>
      </w:r>
    </w:p>
    <w:p w:rsidR="00414C80" w:rsidP="00A21201" w:rsidRDefault="00BD52A9" w14:paraId="227D7124" w14:textId="4E44C051">
      <w:pPr>
        <w:spacing w:after="120"/>
      </w:pPr>
      <w:bookmarkStart w:name="OLE_LINK1" w:id="51"/>
      <w:bookmarkStart w:name="OLE_LINK2" w:id="52"/>
      <w:r>
        <w:rPr>
          <w:b/>
          <w:bCs/>
          <w:color w:val="000000"/>
        </w:rPr>
        <w:lastRenderedPageBreak/>
        <w:t xml:space="preserve">Table </w:t>
      </w:r>
      <w:r w:rsidR="00105011">
        <w:rPr>
          <w:b/>
          <w:bCs/>
          <w:color w:val="000000"/>
        </w:rPr>
        <w:t>1</w:t>
      </w:r>
      <w:r w:rsidR="00414C80">
        <w:rPr>
          <w:b/>
          <w:bCs/>
          <w:color w:val="000000"/>
        </w:rPr>
        <w:t>.</w:t>
      </w:r>
      <w:r w:rsidR="00940A05">
        <w:rPr>
          <w:b/>
          <w:bCs/>
          <w:color w:val="000000"/>
        </w:rPr>
        <w:t xml:space="preserve"> </w:t>
      </w:r>
      <w:r w:rsidR="00414C80">
        <w:rPr>
          <w:b/>
          <w:bCs/>
          <w:color w:val="000000"/>
        </w:rPr>
        <w:t>Estimate</w:t>
      </w:r>
      <w:r w:rsidR="00037998">
        <w:rPr>
          <w:b/>
          <w:bCs/>
          <w:color w:val="000000"/>
        </w:rPr>
        <w:t xml:space="preserve">d </w:t>
      </w:r>
      <w:r w:rsidR="0062198E">
        <w:rPr>
          <w:b/>
          <w:bCs/>
          <w:color w:val="000000"/>
        </w:rPr>
        <w:t xml:space="preserve">total </w:t>
      </w:r>
      <w:r w:rsidR="00037998">
        <w:rPr>
          <w:b/>
          <w:bCs/>
          <w:color w:val="000000"/>
        </w:rPr>
        <w:t>burden hours</w:t>
      </w:r>
      <w:r w:rsidR="0062198E">
        <w:rPr>
          <w:b/>
          <w:bCs/>
          <w:color w:val="000000"/>
        </w:rPr>
        <w:t xml:space="preserve"> </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842"/>
        <w:gridCol w:w="1423"/>
        <w:gridCol w:w="1423"/>
        <w:gridCol w:w="1423"/>
        <w:gridCol w:w="1424"/>
      </w:tblGrid>
      <w:tr w:rsidR="00E97584" w:rsidTr="00DA2E7E" w14:paraId="7548861C" w14:textId="1621F607">
        <w:tc>
          <w:tcPr>
            <w:tcW w:w="3842" w:type="dxa"/>
            <w:shd w:val="clear" w:color="auto" w:fill="auto"/>
            <w:tcMar>
              <w:top w:w="58" w:type="dxa"/>
              <w:left w:w="58" w:type="dxa"/>
              <w:bottom w:w="58" w:type="dxa"/>
              <w:right w:w="58" w:type="dxa"/>
            </w:tcMar>
            <w:vAlign w:val="center"/>
          </w:tcPr>
          <w:p w:rsidRPr="00A21201" w:rsidR="00E97584" w:rsidP="009C4881" w:rsidRDefault="004C4A74" w14:paraId="416A46AC" w14:textId="3D741CDD">
            <w:pPr>
              <w:jc w:val="center"/>
              <w:rPr>
                <w:b/>
              </w:rPr>
            </w:pPr>
            <w:r w:rsidRPr="00A21201">
              <w:rPr>
                <w:b/>
                <w:color w:val="000000"/>
                <w:sz w:val="20"/>
                <w:szCs w:val="20"/>
              </w:rPr>
              <w:t>Form Name</w:t>
            </w:r>
          </w:p>
        </w:tc>
        <w:tc>
          <w:tcPr>
            <w:tcW w:w="1423" w:type="dxa"/>
            <w:shd w:val="clear" w:color="auto" w:fill="auto"/>
            <w:tcMar>
              <w:top w:w="58" w:type="dxa"/>
              <w:left w:w="58" w:type="dxa"/>
              <w:bottom w:w="58" w:type="dxa"/>
              <w:right w:w="58" w:type="dxa"/>
            </w:tcMar>
            <w:vAlign w:val="center"/>
          </w:tcPr>
          <w:p w:rsidRPr="00A21201" w:rsidR="00E97584" w:rsidP="009C4881" w:rsidRDefault="00015AAF" w14:paraId="25261119" w14:textId="28E0ACE8">
            <w:pPr>
              <w:jc w:val="center"/>
              <w:rPr>
                <w:b/>
              </w:rPr>
            </w:pPr>
            <w:r w:rsidRPr="00A21201">
              <w:rPr>
                <w:b/>
                <w:color w:val="000000"/>
                <w:sz w:val="20"/>
                <w:szCs w:val="20"/>
              </w:rPr>
              <w:t>Number of r</w:t>
            </w:r>
            <w:r w:rsidRPr="00A21201" w:rsidR="00E97584">
              <w:rPr>
                <w:b/>
                <w:color w:val="000000"/>
                <w:sz w:val="20"/>
                <w:szCs w:val="20"/>
              </w:rPr>
              <w:t>espondents</w:t>
            </w:r>
          </w:p>
        </w:tc>
        <w:tc>
          <w:tcPr>
            <w:tcW w:w="1423" w:type="dxa"/>
            <w:shd w:val="clear" w:color="auto" w:fill="auto"/>
            <w:tcMar>
              <w:top w:w="58" w:type="dxa"/>
              <w:left w:w="58" w:type="dxa"/>
              <w:bottom w:w="58" w:type="dxa"/>
              <w:right w:w="58" w:type="dxa"/>
            </w:tcMar>
            <w:vAlign w:val="center"/>
          </w:tcPr>
          <w:p w:rsidRPr="00A21201" w:rsidR="00E97584" w:rsidP="009C4881" w:rsidRDefault="00E97584" w14:paraId="406AB30A" w14:textId="57071683">
            <w:pPr>
              <w:jc w:val="center"/>
              <w:rPr>
                <w:b/>
                <w:sz w:val="20"/>
                <w:szCs w:val="20"/>
              </w:rPr>
            </w:pPr>
            <w:r w:rsidRPr="00A21201">
              <w:rPr>
                <w:b/>
                <w:sz w:val="20"/>
                <w:szCs w:val="20"/>
              </w:rPr>
              <w:t>Number of responses per respondent</w:t>
            </w:r>
          </w:p>
        </w:tc>
        <w:tc>
          <w:tcPr>
            <w:tcW w:w="1423" w:type="dxa"/>
            <w:tcMar>
              <w:top w:w="58" w:type="dxa"/>
              <w:left w:w="58" w:type="dxa"/>
              <w:bottom w:w="58" w:type="dxa"/>
              <w:right w:w="58" w:type="dxa"/>
            </w:tcMar>
            <w:vAlign w:val="center"/>
          </w:tcPr>
          <w:p w:rsidRPr="00A21201" w:rsidR="00E97584" w:rsidP="009C4881" w:rsidRDefault="00B238AD" w14:paraId="586360FF" w14:textId="438410EA">
            <w:pPr>
              <w:jc w:val="center"/>
              <w:rPr>
                <w:b/>
              </w:rPr>
            </w:pPr>
            <w:r w:rsidRPr="00A21201">
              <w:rPr>
                <w:b/>
                <w:color w:val="000000"/>
                <w:sz w:val="20"/>
                <w:szCs w:val="20"/>
              </w:rPr>
              <w:t>Hours per response</w:t>
            </w:r>
          </w:p>
        </w:tc>
        <w:tc>
          <w:tcPr>
            <w:tcW w:w="1424" w:type="dxa"/>
            <w:shd w:val="clear" w:color="auto" w:fill="auto"/>
            <w:tcMar>
              <w:top w:w="58" w:type="dxa"/>
              <w:left w:w="58" w:type="dxa"/>
              <w:bottom w:w="58" w:type="dxa"/>
              <w:right w:w="58" w:type="dxa"/>
            </w:tcMar>
            <w:vAlign w:val="center"/>
          </w:tcPr>
          <w:p w:rsidRPr="00A21201" w:rsidR="00E97584" w:rsidP="009C4881" w:rsidRDefault="00015AAF" w14:paraId="778CF2B8" w14:textId="120CF50F">
            <w:pPr>
              <w:jc w:val="center"/>
              <w:rPr>
                <w:b/>
              </w:rPr>
            </w:pPr>
            <w:r w:rsidRPr="00A21201">
              <w:rPr>
                <w:b/>
                <w:color w:val="000000"/>
                <w:sz w:val="20"/>
                <w:szCs w:val="20"/>
              </w:rPr>
              <w:t>Total b</w:t>
            </w:r>
            <w:r w:rsidRPr="00A21201" w:rsidR="00E97584">
              <w:rPr>
                <w:b/>
                <w:color w:val="000000"/>
                <w:sz w:val="20"/>
                <w:szCs w:val="20"/>
              </w:rPr>
              <w:t>urden hours</w:t>
            </w:r>
          </w:p>
        </w:tc>
      </w:tr>
      <w:tr w:rsidR="00254912" w:rsidTr="00DA2E7E" w14:paraId="437EB86C" w14:textId="4944C07D">
        <w:tc>
          <w:tcPr>
            <w:tcW w:w="3842" w:type="dxa"/>
            <w:shd w:val="clear" w:color="auto" w:fill="auto"/>
            <w:tcMar>
              <w:top w:w="58" w:type="dxa"/>
              <w:left w:w="58" w:type="dxa"/>
              <w:bottom w:w="58" w:type="dxa"/>
              <w:right w:w="58" w:type="dxa"/>
            </w:tcMar>
            <w:vAlign w:val="center"/>
          </w:tcPr>
          <w:p w:rsidRPr="00A21201" w:rsidR="00254912" w:rsidP="003830BB" w:rsidRDefault="002F33CD" w14:paraId="7A4DD761" w14:textId="3E92B65F">
            <w:pPr>
              <w:rPr>
                <w:sz w:val="20"/>
                <w:szCs w:val="20"/>
              </w:rPr>
            </w:pPr>
            <w:r w:rsidRPr="00A21201">
              <w:rPr>
                <w:sz w:val="20"/>
                <w:szCs w:val="20"/>
              </w:rPr>
              <w:t>MBECS survey</w:t>
            </w:r>
            <w:r w:rsidRPr="00A21201" w:rsidR="003830BB">
              <w:rPr>
                <w:sz w:val="20"/>
                <w:szCs w:val="20"/>
              </w:rPr>
              <w:t>s (3)</w:t>
            </w:r>
          </w:p>
        </w:tc>
        <w:tc>
          <w:tcPr>
            <w:tcW w:w="1423" w:type="dxa"/>
            <w:shd w:val="clear" w:color="auto" w:fill="auto"/>
            <w:tcMar>
              <w:top w:w="58" w:type="dxa"/>
              <w:left w:w="58" w:type="dxa"/>
              <w:bottom w:w="58" w:type="dxa"/>
              <w:right w:w="58" w:type="dxa"/>
            </w:tcMar>
          </w:tcPr>
          <w:p w:rsidRPr="00A21201" w:rsidR="00254912" w:rsidP="00254912" w:rsidRDefault="00E16AC7" w14:paraId="174CA425" w14:textId="4AB273BD">
            <w:pPr>
              <w:jc w:val="center"/>
              <w:rPr>
                <w:sz w:val="20"/>
                <w:szCs w:val="20"/>
              </w:rPr>
            </w:pPr>
            <w:r w:rsidRPr="00A21201">
              <w:rPr>
                <w:sz w:val="20"/>
                <w:szCs w:val="20"/>
              </w:rPr>
              <w:t>1</w:t>
            </w:r>
            <w:r w:rsidRPr="00A21201" w:rsidR="00916581">
              <w:rPr>
                <w:sz w:val="20"/>
                <w:szCs w:val="20"/>
              </w:rPr>
              <w:t>3,000</w:t>
            </w:r>
            <w:r w:rsidRPr="00A21201" w:rsidR="00254912">
              <w:rPr>
                <w:sz w:val="20"/>
                <w:szCs w:val="20"/>
              </w:rPr>
              <w:t xml:space="preserve"> </w:t>
            </w:r>
          </w:p>
        </w:tc>
        <w:tc>
          <w:tcPr>
            <w:tcW w:w="1423" w:type="dxa"/>
            <w:shd w:val="clear" w:color="auto" w:fill="auto"/>
            <w:tcMar>
              <w:top w:w="58" w:type="dxa"/>
              <w:left w:w="58" w:type="dxa"/>
              <w:bottom w:w="58" w:type="dxa"/>
              <w:right w:w="58" w:type="dxa"/>
            </w:tcMar>
            <w:vAlign w:val="center"/>
          </w:tcPr>
          <w:p w:rsidRPr="00A21201" w:rsidR="00254912" w:rsidP="00254912" w:rsidRDefault="00254912" w14:paraId="7241D550" w14:textId="77BA6EB6">
            <w:pPr>
              <w:jc w:val="center"/>
              <w:rPr>
                <w:sz w:val="20"/>
                <w:szCs w:val="20"/>
              </w:rPr>
            </w:pPr>
            <w:r w:rsidRPr="00A21201">
              <w:rPr>
                <w:sz w:val="20"/>
                <w:szCs w:val="20"/>
              </w:rPr>
              <w:t>1</w:t>
            </w:r>
          </w:p>
        </w:tc>
        <w:tc>
          <w:tcPr>
            <w:tcW w:w="1423" w:type="dxa"/>
            <w:tcMar>
              <w:top w:w="58" w:type="dxa"/>
              <w:left w:w="58" w:type="dxa"/>
              <w:bottom w:w="58" w:type="dxa"/>
              <w:right w:w="58" w:type="dxa"/>
            </w:tcMar>
            <w:vAlign w:val="center"/>
          </w:tcPr>
          <w:p w:rsidRPr="00A21201" w:rsidR="00254912" w:rsidP="00254912" w:rsidRDefault="00254912" w14:paraId="62A14EE7" w14:textId="29C346D1">
            <w:pPr>
              <w:jc w:val="center"/>
              <w:rPr>
                <w:sz w:val="20"/>
                <w:szCs w:val="20"/>
              </w:rPr>
            </w:pPr>
            <w:r w:rsidRPr="00A21201">
              <w:rPr>
                <w:sz w:val="20"/>
                <w:szCs w:val="20"/>
              </w:rPr>
              <w:t>.33</w:t>
            </w:r>
          </w:p>
        </w:tc>
        <w:tc>
          <w:tcPr>
            <w:tcW w:w="1424" w:type="dxa"/>
            <w:shd w:val="clear" w:color="auto" w:fill="auto"/>
            <w:tcMar>
              <w:top w:w="58" w:type="dxa"/>
              <w:left w:w="58" w:type="dxa"/>
              <w:bottom w:w="58" w:type="dxa"/>
              <w:right w:w="58" w:type="dxa"/>
            </w:tcMar>
            <w:vAlign w:val="center"/>
          </w:tcPr>
          <w:p w:rsidRPr="00A21201" w:rsidR="00254912" w:rsidP="0033641B" w:rsidRDefault="003830BB" w14:paraId="615CE309" w14:textId="1D6B3746">
            <w:pPr>
              <w:jc w:val="center"/>
              <w:rPr>
                <w:sz w:val="20"/>
                <w:szCs w:val="20"/>
              </w:rPr>
            </w:pPr>
            <w:r w:rsidRPr="00A21201">
              <w:rPr>
                <w:sz w:val="20"/>
                <w:szCs w:val="20"/>
              </w:rPr>
              <w:t>4,290</w:t>
            </w:r>
          </w:p>
        </w:tc>
      </w:tr>
      <w:tr w:rsidR="003B3D4D" w:rsidTr="00DA2E7E" w14:paraId="326FC27B" w14:textId="3E5C7589">
        <w:tc>
          <w:tcPr>
            <w:tcW w:w="3842" w:type="dxa"/>
            <w:shd w:val="clear" w:color="auto" w:fill="auto"/>
            <w:tcMar>
              <w:top w:w="58" w:type="dxa"/>
              <w:left w:w="58" w:type="dxa"/>
              <w:bottom w:w="58" w:type="dxa"/>
              <w:right w:w="58" w:type="dxa"/>
            </w:tcMar>
            <w:vAlign w:val="center"/>
          </w:tcPr>
          <w:p w:rsidRPr="00A21201" w:rsidR="003B3D4D" w:rsidP="003B3D4D" w:rsidRDefault="003B3D4D" w14:paraId="6F75CD24" w14:textId="2E234D07">
            <w:pPr>
              <w:rPr>
                <w:b/>
                <w:sz w:val="20"/>
                <w:szCs w:val="20"/>
              </w:rPr>
            </w:pPr>
            <w:r w:rsidRPr="00A21201">
              <w:rPr>
                <w:b/>
                <w:bCs/>
                <w:color w:val="000000"/>
                <w:sz w:val="20"/>
                <w:szCs w:val="20"/>
              </w:rPr>
              <w:t xml:space="preserve">Total </w:t>
            </w:r>
          </w:p>
        </w:tc>
        <w:tc>
          <w:tcPr>
            <w:tcW w:w="1423" w:type="dxa"/>
            <w:shd w:val="clear" w:color="auto" w:fill="auto"/>
            <w:tcMar>
              <w:top w:w="58" w:type="dxa"/>
              <w:left w:w="58" w:type="dxa"/>
              <w:bottom w:w="58" w:type="dxa"/>
              <w:right w:w="58" w:type="dxa"/>
            </w:tcMar>
          </w:tcPr>
          <w:p w:rsidRPr="00A21201" w:rsidR="003B3D4D" w:rsidP="003B3D4D" w:rsidRDefault="003830BB" w14:paraId="154BC9FA" w14:textId="32873B46">
            <w:pPr>
              <w:jc w:val="center"/>
              <w:rPr>
                <w:b/>
                <w:sz w:val="20"/>
                <w:szCs w:val="20"/>
              </w:rPr>
            </w:pPr>
            <w:r w:rsidRPr="00A21201">
              <w:rPr>
                <w:b/>
                <w:sz w:val="20"/>
                <w:szCs w:val="20"/>
              </w:rPr>
              <w:t>13,000</w:t>
            </w:r>
            <w:r w:rsidRPr="00A21201" w:rsidR="003B3D4D">
              <w:rPr>
                <w:b/>
                <w:sz w:val="20"/>
                <w:szCs w:val="20"/>
              </w:rPr>
              <w:t xml:space="preserve"> </w:t>
            </w:r>
          </w:p>
        </w:tc>
        <w:tc>
          <w:tcPr>
            <w:tcW w:w="1423" w:type="dxa"/>
            <w:shd w:val="clear" w:color="auto" w:fill="auto"/>
            <w:tcMar>
              <w:top w:w="58" w:type="dxa"/>
              <w:left w:w="58" w:type="dxa"/>
              <w:bottom w:w="58" w:type="dxa"/>
              <w:right w:w="58" w:type="dxa"/>
            </w:tcMar>
            <w:vAlign w:val="center"/>
          </w:tcPr>
          <w:p w:rsidRPr="00A21201" w:rsidR="003B3D4D" w:rsidP="003B3D4D" w:rsidRDefault="003B3D4D" w14:paraId="179044E1" w14:textId="000E0F9E">
            <w:pPr>
              <w:jc w:val="center"/>
              <w:rPr>
                <w:b/>
                <w:sz w:val="20"/>
                <w:szCs w:val="20"/>
              </w:rPr>
            </w:pPr>
          </w:p>
        </w:tc>
        <w:tc>
          <w:tcPr>
            <w:tcW w:w="1423" w:type="dxa"/>
            <w:tcMar>
              <w:top w:w="58" w:type="dxa"/>
              <w:left w:w="58" w:type="dxa"/>
              <w:bottom w:w="58" w:type="dxa"/>
              <w:right w:w="58" w:type="dxa"/>
            </w:tcMar>
            <w:vAlign w:val="center"/>
          </w:tcPr>
          <w:p w:rsidRPr="00A21201" w:rsidR="003B3D4D" w:rsidP="003B3D4D" w:rsidRDefault="003B3D4D" w14:paraId="14AF230A" w14:textId="10273B51">
            <w:pPr>
              <w:jc w:val="center"/>
              <w:rPr>
                <w:b/>
                <w:sz w:val="20"/>
                <w:szCs w:val="20"/>
              </w:rPr>
            </w:pPr>
            <w:r w:rsidRPr="00A21201">
              <w:rPr>
                <w:b/>
                <w:sz w:val="20"/>
                <w:szCs w:val="20"/>
              </w:rPr>
              <w:t>.33</w:t>
            </w:r>
          </w:p>
        </w:tc>
        <w:tc>
          <w:tcPr>
            <w:tcW w:w="1424" w:type="dxa"/>
            <w:shd w:val="clear" w:color="auto" w:fill="auto"/>
            <w:tcMar>
              <w:top w:w="58" w:type="dxa"/>
              <w:left w:w="58" w:type="dxa"/>
              <w:bottom w:w="58" w:type="dxa"/>
              <w:right w:w="58" w:type="dxa"/>
            </w:tcMar>
            <w:vAlign w:val="center"/>
          </w:tcPr>
          <w:p w:rsidRPr="00A21201" w:rsidR="003B3D4D" w:rsidP="003B3D4D" w:rsidRDefault="003830BB" w14:paraId="1DDFEC0F" w14:textId="08F9C945">
            <w:pPr>
              <w:jc w:val="center"/>
              <w:rPr>
                <w:b/>
                <w:sz w:val="20"/>
                <w:szCs w:val="20"/>
              </w:rPr>
            </w:pPr>
            <w:r w:rsidRPr="00A21201">
              <w:rPr>
                <w:b/>
                <w:sz w:val="20"/>
                <w:szCs w:val="20"/>
              </w:rPr>
              <w:t>4,290</w:t>
            </w:r>
          </w:p>
        </w:tc>
      </w:tr>
    </w:tbl>
    <w:bookmarkEnd w:id="51"/>
    <w:bookmarkEnd w:id="52"/>
    <w:p w:rsidR="00FF6327" w:rsidP="00A21201" w:rsidRDefault="00916581" w14:paraId="10D6A547" w14:textId="58DE85DB">
      <w:pPr>
        <w:pStyle w:val="BodyText"/>
        <w:spacing w:before="240"/>
      </w:pPr>
      <w:r>
        <w:t>Table</w:t>
      </w:r>
      <w:r w:rsidR="00BD52A9">
        <w:t xml:space="preserve"> </w:t>
      </w:r>
      <w:r w:rsidR="00105011">
        <w:t>2</w:t>
      </w:r>
      <w:r w:rsidR="00BD52A9">
        <w:t xml:space="preserve"> </w:t>
      </w:r>
      <w:r w:rsidRPr="002C0FA6" w:rsidR="002C0FA6">
        <w:t>below outline</w:t>
      </w:r>
      <w:r>
        <w:t>s</w:t>
      </w:r>
      <w:r w:rsidRPr="002C0FA6" w:rsidR="002C0FA6">
        <w:t xml:space="preserve"> the cost burden for </w:t>
      </w:r>
      <w:r w:rsidR="0099335F">
        <w:t xml:space="preserve">fielding a survey to </w:t>
      </w:r>
      <w:r>
        <w:t xml:space="preserve">both </w:t>
      </w:r>
      <w:r w:rsidR="0099335F">
        <w:t>population</w:t>
      </w:r>
      <w:r>
        <w:t>s</w:t>
      </w:r>
      <w:r w:rsidR="0099335F">
        <w:t xml:space="preserve"> of interest</w:t>
      </w:r>
      <w:r w:rsidRPr="002C0FA6" w:rsidR="002C0FA6">
        <w:t>.</w:t>
      </w:r>
      <w:r w:rsidR="00940A05">
        <w:t xml:space="preserve"> </w:t>
      </w:r>
      <w:r w:rsidRPr="00582513" w:rsidR="00FF6327">
        <w:t xml:space="preserve">We recommend using the BLS hourly wage rate for </w:t>
      </w:r>
      <w:r w:rsidRPr="00247EAE" w:rsidR="00FF6327">
        <w:rPr>
          <w:i/>
        </w:rPr>
        <w:t>All Occupations</w:t>
      </w:r>
      <w:r w:rsidRPr="00582513" w:rsidR="00FF6327">
        <w:t xml:space="preserve"> </w:t>
      </w:r>
      <w:r w:rsidR="00FF6327">
        <w:t xml:space="preserve">for </w:t>
      </w:r>
      <w:r w:rsidRPr="00582513" w:rsidR="00FF6327">
        <w:t xml:space="preserve">our respondent pool because the </w:t>
      </w:r>
      <w:r w:rsidRPr="00247EAE" w:rsidR="00FF6327">
        <w:t xml:space="preserve">group of individual respondents varies widely </w:t>
      </w:r>
      <w:r w:rsidR="00F43841">
        <w:t>across</w:t>
      </w:r>
      <w:r w:rsidRPr="00247EAE" w:rsidR="00FF6327">
        <w:t xml:space="preserve"> individuals </w:t>
      </w:r>
      <w:r w:rsidR="00F43841">
        <w:t>in terms of occupation,</w:t>
      </w:r>
      <w:r w:rsidRPr="00247EAE" w:rsidR="00FF6327">
        <w:t xml:space="preserve"> respondent age, location, years of employment, and educational attainment, etc. </w:t>
      </w:r>
    </w:p>
    <w:p w:rsidRPr="00B84320" w:rsidR="00FF6327" w:rsidP="002D4D3A" w:rsidRDefault="00FF6327" w14:paraId="2852B331" w14:textId="5A026F73">
      <w:pPr>
        <w:pStyle w:val="BodyText"/>
      </w:pPr>
      <w:r w:rsidRPr="00FF6327">
        <w:t>Based on the most recent Bureau of Labor and Statistics Occupational and Employment Data (May 20</w:t>
      </w:r>
      <w:r w:rsidR="00897ABA">
        <w:t>20</w:t>
      </w:r>
      <w:r w:rsidRPr="00FF6327">
        <w:t xml:space="preserve">) for Category </w:t>
      </w:r>
      <w:r>
        <w:t>00-0000</w:t>
      </w:r>
      <w:r w:rsidRPr="00FF6327">
        <w:t xml:space="preserve"> (</w:t>
      </w:r>
      <w:r>
        <w:t>All Occupations</w:t>
      </w:r>
      <w:r w:rsidRPr="00FF6327">
        <w:t xml:space="preserve">), the mean hourly wage for </w:t>
      </w:r>
      <w:r>
        <w:t>all occupations</w:t>
      </w:r>
      <w:r w:rsidRPr="00FF6327">
        <w:t xml:space="preserve"> is</w:t>
      </w:r>
      <w:r w:rsidR="00697DC2">
        <w:t xml:space="preserve"> </w:t>
      </w:r>
      <w:r w:rsidRPr="002D258B" w:rsidR="00697DC2">
        <w:t>$27.07</w:t>
      </w:r>
      <w:r w:rsidRPr="00FF6327">
        <w:t>.</w:t>
      </w:r>
      <w:bookmarkStart w:name="_ftnref1" w:id="53"/>
      <w:bookmarkEnd w:id="53"/>
      <w:r w:rsidRPr="00FF6327">
        <w:t xml:space="preserve"> We have added 100% of the mean hourly </w:t>
      </w:r>
      <w:r w:rsidRPr="00B84320">
        <w:t>wage to account for fringe and overhead benefits, which calculates to</w:t>
      </w:r>
      <w:r w:rsidR="00697DC2">
        <w:t xml:space="preserve"> $54.14</w:t>
      </w:r>
      <w:r w:rsidRPr="00B84320">
        <w:t xml:space="preserve"> (</w:t>
      </w:r>
      <w:r w:rsidR="00697DC2">
        <w:t>$27.07 +$27.07)</w:t>
      </w:r>
      <w:r w:rsidRPr="00B84320">
        <w:t>. </w:t>
      </w:r>
      <w:r w:rsidRPr="00B84320" w:rsidR="00916581">
        <w:t>A</w:t>
      </w:r>
      <w:r w:rsidRPr="00B84320">
        <w:t xml:space="preserve">ssuming </w:t>
      </w:r>
      <w:r w:rsidR="003830BB">
        <w:t>4,290</w:t>
      </w:r>
      <w:r w:rsidRPr="00B84320" w:rsidR="003830BB">
        <w:t xml:space="preserve"> </w:t>
      </w:r>
      <w:r w:rsidRPr="00B84320">
        <w:t>burden hours and an average hourly wage rate of $</w:t>
      </w:r>
      <w:r w:rsidR="00697DC2">
        <w:t>54.14</w:t>
      </w:r>
      <w:r w:rsidRPr="00B84320">
        <w:t>, we estimate the total cost to be $</w:t>
      </w:r>
      <w:r w:rsidR="00697DC2">
        <w:t>232,260.6</w:t>
      </w:r>
      <w:r w:rsidR="009B53FF">
        <w:t>0</w:t>
      </w:r>
      <w:r w:rsidRPr="00B84320" w:rsidR="00162997">
        <w:t>.</w:t>
      </w:r>
    </w:p>
    <w:p w:rsidRPr="00A21201" w:rsidR="006C52C3" w:rsidP="00A21201" w:rsidRDefault="006C52C3" w14:paraId="3935C80A" w14:textId="0D942417">
      <w:pPr>
        <w:pStyle w:val="BodyText"/>
        <w:rPr>
          <w:i/>
        </w:rPr>
      </w:pPr>
      <w:r w:rsidRPr="00A21201">
        <w:rPr>
          <w:i/>
        </w:rPr>
        <w:t>No</w:t>
      </w:r>
      <w:r w:rsidRPr="00A21201" w:rsidR="003D431C">
        <w:rPr>
          <w:i/>
        </w:rPr>
        <w:t xml:space="preserve">te – for Table </w:t>
      </w:r>
      <w:r w:rsidRPr="00A21201" w:rsidR="00105011">
        <w:rPr>
          <w:i/>
        </w:rPr>
        <w:t>2</w:t>
      </w:r>
      <w:r w:rsidRPr="00A21201">
        <w:rPr>
          <w:i/>
        </w:rPr>
        <w:t>, average hourly wage rate calculated using mean wages for 00-0000 All Occupations from the National Compensation Survey: Occupational wages in the United States May 20</w:t>
      </w:r>
      <w:r w:rsidR="009B53FF">
        <w:rPr>
          <w:i/>
        </w:rPr>
        <w:t>20</w:t>
      </w:r>
      <w:r w:rsidRPr="00A21201">
        <w:rPr>
          <w:i/>
        </w:rPr>
        <w:t xml:space="preserve"> “U.S. Department of Labor, Bureau of Labor Statistics:” </w:t>
      </w:r>
      <w:hyperlink w:history="1" r:id="rId8">
        <w:r w:rsidRPr="00A21201">
          <w:rPr>
            <w:rStyle w:val="Hyperlink"/>
            <w:i/>
          </w:rPr>
          <w:t>https://www.bls.gov/oes/current/oes_nat.htm</w:t>
        </w:r>
      </w:hyperlink>
      <w:r w:rsidRPr="00A21201">
        <w:rPr>
          <w:rStyle w:val="Hyperlink"/>
          <w:i/>
        </w:rPr>
        <w:t xml:space="preserve"> </w:t>
      </w:r>
      <w:r w:rsidRPr="00A21201">
        <w:rPr>
          <w:i/>
        </w:rPr>
        <w:t xml:space="preserve">. </w:t>
      </w:r>
    </w:p>
    <w:p w:rsidRPr="00B84320" w:rsidR="00037998" w:rsidP="00A21201" w:rsidRDefault="0099335F" w14:paraId="39299327" w14:textId="6084AF94">
      <w:pPr>
        <w:spacing w:after="100" w:afterAutospacing="1"/>
        <w:rPr>
          <w:b/>
        </w:rPr>
      </w:pPr>
      <w:r w:rsidRPr="00B84320">
        <w:rPr>
          <w:b/>
        </w:rPr>
        <w:t xml:space="preserve">Table </w:t>
      </w:r>
      <w:r w:rsidR="00105011">
        <w:rPr>
          <w:b/>
        </w:rPr>
        <w:t>2</w:t>
      </w:r>
      <w:r w:rsidRPr="00B84320" w:rsidR="00037998">
        <w:rPr>
          <w:b/>
        </w:rPr>
        <w:t>.</w:t>
      </w:r>
      <w:r w:rsidRPr="00B84320" w:rsidR="00940A05">
        <w:rPr>
          <w:b/>
        </w:rPr>
        <w:t xml:space="preserve"> </w:t>
      </w:r>
      <w:r w:rsidRPr="00B84320" w:rsidR="00037998">
        <w:rPr>
          <w:b/>
        </w:rPr>
        <w:t>Estimated cost burden</w:t>
      </w:r>
      <w:r w:rsidRPr="00B84320">
        <w:rPr>
          <w:b/>
        </w:rPr>
        <w:t xml:space="preserve"> </w:t>
      </w:r>
    </w:p>
    <w:tbl>
      <w:tblPr>
        <w:tblW w:w="9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865"/>
        <w:gridCol w:w="1389"/>
        <w:gridCol w:w="1389"/>
        <w:gridCol w:w="1389"/>
        <w:gridCol w:w="1390"/>
      </w:tblGrid>
      <w:tr w:rsidRPr="00B84320" w:rsidR="003C60BD" w:rsidTr="0045008B" w14:paraId="5F397B26" w14:textId="77777777">
        <w:tc>
          <w:tcPr>
            <w:tcW w:w="3865" w:type="dxa"/>
            <w:shd w:val="clear" w:color="auto" w:fill="auto"/>
            <w:tcMar>
              <w:top w:w="58" w:type="dxa"/>
              <w:left w:w="58" w:type="dxa"/>
              <w:bottom w:w="58" w:type="dxa"/>
              <w:right w:w="58" w:type="dxa"/>
            </w:tcMar>
            <w:vAlign w:val="center"/>
          </w:tcPr>
          <w:p w:rsidRPr="00A21201" w:rsidR="003C60BD" w:rsidP="009C4881" w:rsidRDefault="004C4A74" w14:paraId="0AFF0C93" w14:textId="77777777">
            <w:pPr>
              <w:jc w:val="center"/>
              <w:rPr>
                <w:b/>
              </w:rPr>
            </w:pPr>
            <w:r w:rsidRPr="00A21201">
              <w:rPr>
                <w:b/>
                <w:color w:val="000000"/>
                <w:sz w:val="20"/>
                <w:szCs w:val="20"/>
              </w:rPr>
              <w:t>Form Name</w:t>
            </w:r>
          </w:p>
        </w:tc>
        <w:tc>
          <w:tcPr>
            <w:tcW w:w="1389" w:type="dxa"/>
            <w:shd w:val="clear" w:color="auto" w:fill="auto"/>
            <w:tcMar>
              <w:top w:w="58" w:type="dxa"/>
              <w:left w:w="58" w:type="dxa"/>
              <w:bottom w:w="58" w:type="dxa"/>
              <w:right w:w="58" w:type="dxa"/>
            </w:tcMar>
            <w:vAlign w:val="center"/>
          </w:tcPr>
          <w:p w:rsidRPr="00A21201" w:rsidR="003C60BD" w:rsidP="009C4881" w:rsidRDefault="00015AAF" w14:paraId="759208DD" w14:textId="77777777">
            <w:pPr>
              <w:jc w:val="center"/>
              <w:rPr>
                <w:b/>
              </w:rPr>
            </w:pPr>
            <w:r w:rsidRPr="00A21201">
              <w:rPr>
                <w:b/>
                <w:color w:val="000000"/>
                <w:sz w:val="20"/>
                <w:szCs w:val="20"/>
              </w:rPr>
              <w:t>Number of r</w:t>
            </w:r>
            <w:r w:rsidRPr="00A21201" w:rsidR="003C60BD">
              <w:rPr>
                <w:b/>
                <w:color w:val="000000"/>
                <w:sz w:val="20"/>
                <w:szCs w:val="20"/>
              </w:rPr>
              <w:t>espondents</w:t>
            </w:r>
          </w:p>
        </w:tc>
        <w:tc>
          <w:tcPr>
            <w:tcW w:w="1389" w:type="dxa"/>
            <w:shd w:val="clear" w:color="auto" w:fill="auto"/>
            <w:tcMar>
              <w:top w:w="58" w:type="dxa"/>
              <w:left w:w="58" w:type="dxa"/>
              <w:bottom w:w="58" w:type="dxa"/>
              <w:right w:w="58" w:type="dxa"/>
            </w:tcMar>
            <w:vAlign w:val="center"/>
          </w:tcPr>
          <w:p w:rsidRPr="00A21201" w:rsidR="003C60BD" w:rsidP="009C4881" w:rsidRDefault="00015AAF" w14:paraId="7E6AFF97" w14:textId="77777777">
            <w:pPr>
              <w:jc w:val="center"/>
              <w:rPr>
                <w:b/>
              </w:rPr>
            </w:pPr>
            <w:r w:rsidRPr="00A21201">
              <w:rPr>
                <w:b/>
                <w:color w:val="000000"/>
                <w:sz w:val="20"/>
                <w:szCs w:val="20"/>
              </w:rPr>
              <w:t>Total b</w:t>
            </w:r>
            <w:r w:rsidRPr="00A21201" w:rsidR="003C60BD">
              <w:rPr>
                <w:b/>
                <w:color w:val="000000"/>
                <w:sz w:val="20"/>
                <w:szCs w:val="20"/>
              </w:rPr>
              <w:t>urden hours</w:t>
            </w:r>
          </w:p>
        </w:tc>
        <w:tc>
          <w:tcPr>
            <w:tcW w:w="1389" w:type="dxa"/>
            <w:shd w:val="clear" w:color="auto" w:fill="auto"/>
            <w:tcMar>
              <w:top w:w="58" w:type="dxa"/>
              <w:left w:w="58" w:type="dxa"/>
              <w:bottom w:w="58" w:type="dxa"/>
              <w:right w:w="58" w:type="dxa"/>
            </w:tcMar>
            <w:vAlign w:val="center"/>
          </w:tcPr>
          <w:p w:rsidRPr="00A21201" w:rsidR="003C60BD" w:rsidP="009C4881" w:rsidRDefault="00015AAF" w14:paraId="69DC470D" w14:textId="77777777">
            <w:pPr>
              <w:jc w:val="center"/>
              <w:rPr>
                <w:b/>
              </w:rPr>
            </w:pPr>
            <w:r w:rsidRPr="00A21201">
              <w:rPr>
                <w:b/>
                <w:color w:val="000000"/>
                <w:sz w:val="20"/>
                <w:szCs w:val="20"/>
              </w:rPr>
              <w:t>Average hourly wage r</w:t>
            </w:r>
            <w:r w:rsidRPr="00A21201" w:rsidR="003C60BD">
              <w:rPr>
                <w:b/>
                <w:color w:val="000000"/>
                <w:sz w:val="20"/>
                <w:szCs w:val="20"/>
              </w:rPr>
              <w:t>ate*</w:t>
            </w:r>
          </w:p>
        </w:tc>
        <w:tc>
          <w:tcPr>
            <w:tcW w:w="1390" w:type="dxa"/>
            <w:shd w:val="clear" w:color="auto" w:fill="auto"/>
            <w:tcMar>
              <w:top w:w="58" w:type="dxa"/>
              <w:left w:w="58" w:type="dxa"/>
              <w:bottom w:w="58" w:type="dxa"/>
              <w:right w:w="58" w:type="dxa"/>
            </w:tcMar>
            <w:vAlign w:val="center"/>
          </w:tcPr>
          <w:p w:rsidRPr="00A21201" w:rsidR="003C60BD" w:rsidP="009C4881" w:rsidRDefault="00F3207F" w14:paraId="429EC006" w14:textId="004E610D">
            <w:pPr>
              <w:jc w:val="center"/>
              <w:rPr>
                <w:b/>
              </w:rPr>
            </w:pPr>
            <w:r w:rsidRPr="00A21201">
              <w:rPr>
                <w:b/>
                <w:color w:val="000000"/>
                <w:sz w:val="20"/>
                <w:szCs w:val="20"/>
              </w:rPr>
              <w:t>Total</w:t>
            </w:r>
            <w:r w:rsidRPr="00A21201" w:rsidR="00940A05">
              <w:rPr>
                <w:b/>
                <w:color w:val="000000"/>
                <w:sz w:val="20"/>
                <w:szCs w:val="20"/>
              </w:rPr>
              <w:t xml:space="preserve"> </w:t>
            </w:r>
            <w:r w:rsidRPr="00A21201" w:rsidR="00015AAF">
              <w:rPr>
                <w:b/>
                <w:color w:val="000000"/>
                <w:sz w:val="20"/>
                <w:szCs w:val="20"/>
              </w:rPr>
              <w:t>cost b</w:t>
            </w:r>
            <w:r w:rsidRPr="00A21201" w:rsidR="003C60BD">
              <w:rPr>
                <w:b/>
                <w:color w:val="000000"/>
                <w:sz w:val="20"/>
                <w:szCs w:val="20"/>
              </w:rPr>
              <w:t>urden</w:t>
            </w:r>
          </w:p>
        </w:tc>
      </w:tr>
      <w:tr w:rsidRPr="00B84320" w:rsidR="00916581" w:rsidTr="0045008B" w14:paraId="6EC8CEB1" w14:textId="77777777">
        <w:tc>
          <w:tcPr>
            <w:tcW w:w="3865" w:type="dxa"/>
            <w:shd w:val="clear" w:color="auto" w:fill="auto"/>
            <w:tcMar>
              <w:top w:w="58" w:type="dxa"/>
              <w:left w:w="58" w:type="dxa"/>
              <w:bottom w:w="58" w:type="dxa"/>
              <w:right w:w="58" w:type="dxa"/>
            </w:tcMar>
            <w:vAlign w:val="center"/>
          </w:tcPr>
          <w:p w:rsidRPr="00A21201" w:rsidR="00916581" w:rsidP="003830BB" w:rsidRDefault="00916581" w14:paraId="3B3639E5" w14:textId="5D50BD25">
            <w:pPr>
              <w:rPr>
                <w:sz w:val="20"/>
                <w:szCs w:val="20"/>
              </w:rPr>
            </w:pPr>
            <w:r w:rsidRPr="00A21201">
              <w:rPr>
                <w:sz w:val="20"/>
                <w:szCs w:val="20"/>
              </w:rPr>
              <w:t xml:space="preserve">MBECS survey </w:t>
            </w:r>
            <w:r w:rsidRPr="00A21201" w:rsidR="003830BB">
              <w:rPr>
                <w:sz w:val="20"/>
                <w:szCs w:val="20"/>
              </w:rPr>
              <w:t>(3)</w:t>
            </w:r>
          </w:p>
        </w:tc>
        <w:tc>
          <w:tcPr>
            <w:tcW w:w="1389" w:type="dxa"/>
            <w:shd w:val="clear" w:color="auto" w:fill="auto"/>
            <w:tcMar>
              <w:top w:w="58" w:type="dxa"/>
              <w:left w:w="58" w:type="dxa"/>
              <w:bottom w:w="58" w:type="dxa"/>
              <w:right w:w="58" w:type="dxa"/>
            </w:tcMar>
          </w:tcPr>
          <w:p w:rsidRPr="00A21201" w:rsidR="00916581" w:rsidP="00916581" w:rsidRDefault="003830BB" w14:paraId="2A57DEE8" w14:textId="7ACF0035">
            <w:pPr>
              <w:jc w:val="center"/>
              <w:rPr>
                <w:sz w:val="20"/>
                <w:szCs w:val="20"/>
              </w:rPr>
            </w:pPr>
            <w:r w:rsidRPr="00A21201">
              <w:rPr>
                <w:sz w:val="20"/>
                <w:szCs w:val="20"/>
              </w:rPr>
              <w:t>1</w:t>
            </w:r>
            <w:r w:rsidRPr="00A21201" w:rsidR="00916581">
              <w:rPr>
                <w:sz w:val="20"/>
                <w:szCs w:val="20"/>
              </w:rPr>
              <w:t xml:space="preserve">3,000 </w:t>
            </w:r>
          </w:p>
        </w:tc>
        <w:tc>
          <w:tcPr>
            <w:tcW w:w="1389" w:type="dxa"/>
            <w:shd w:val="clear" w:color="auto" w:fill="auto"/>
            <w:tcMar>
              <w:top w:w="58" w:type="dxa"/>
              <w:left w:w="58" w:type="dxa"/>
              <w:bottom w:w="58" w:type="dxa"/>
              <w:right w:w="58" w:type="dxa"/>
            </w:tcMar>
            <w:vAlign w:val="center"/>
          </w:tcPr>
          <w:p w:rsidRPr="00A21201" w:rsidR="00916581" w:rsidP="00916581" w:rsidRDefault="003830BB" w14:paraId="080F4686" w14:textId="7D75225C">
            <w:pPr>
              <w:jc w:val="center"/>
              <w:rPr>
                <w:sz w:val="20"/>
                <w:szCs w:val="20"/>
              </w:rPr>
            </w:pPr>
            <w:r w:rsidRPr="00A21201">
              <w:rPr>
                <w:sz w:val="20"/>
                <w:szCs w:val="20"/>
              </w:rPr>
              <w:t>4,290</w:t>
            </w:r>
          </w:p>
        </w:tc>
        <w:tc>
          <w:tcPr>
            <w:tcW w:w="1389" w:type="dxa"/>
            <w:shd w:val="clear" w:color="auto" w:fill="auto"/>
            <w:tcMar>
              <w:top w:w="58" w:type="dxa"/>
              <w:left w:w="58" w:type="dxa"/>
              <w:bottom w:w="58" w:type="dxa"/>
              <w:right w:w="58" w:type="dxa"/>
            </w:tcMar>
            <w:vAlign w:val="center"/>
          </w:tcPr>
          <w:p w:rsidRPr="00A21201" w:rsidR="00916581" w:rsidP="00916581" w:rsidRDefault="00916581" w14:paraId="4D1126CB" w14:textId="07394932">
            <w:pPr>
              <w:jc w:val="center"/>
              <w:rPr>
                <w:sz w:val="20"/>
                <w:szCs w:val="20"/>
              </w:rPr>
            </w:pPr>
            <w:r w:rsidRPr="00A21201">
              <w:rPr>
                <w:sz w:val="20"/>
                <w:szCs w:val="20"/>
              </w:rPr>
              <w:t>$</w:t>
            </w:r>
            <w:r w:rsidR="00697DC2">
              <w:rPr>
                <w:sz w:val="20"/>
                <w:szCs w:val="20"/>
              </w:rPr>
              <w:t>54.14</w:t>
            </w:r>
          </w:p>
        </w:tc>
        <w:tc>
          <w:tcPr>
            <w:tcW w:w="1390" w:type="dxa"/>
            <w:shd w:val="clear" w:color="auto" w:fill="auto"/>
            <w:tcMar>
              <w:top w:w="58" w:type="dxa"/>
              <w:left w:w="58" w:type="dxa"/>
              <w:bottom w:w="58" w:type="dxa"/>
              <w:right w:w="58" w:type="dxa"/>
            </w:tcMar>
            <w:vAlign w:val="center"/>
          </w:tcPr>
          <w:p w:rsidRPr="00A21201" w:rsidR="00916581" w:rsidP="003830BB" w:rsidRDefault="00916581" w14:paraId="260A28B8" w14:textId="3BB9B78A">
            <w:pPr>
              <w:jc w:val="center"/>
              <w:rPr>
                <w:sz w:val="20"/>
                <w:szCs w:val="20"/>
              </w:rPr>
            </w:pPr>
            <w:r w:rsidRPr="00A21201">
              <w:rPr>
                <w:sz w:val="20"/>
                <w:szCs w:val="20"/>
              </w:rPr>
              <w:t>$</w:t>
            </w:r>
            <w:r w:rsidR="00697DC2">
              <w:rPr>
                <w:sz w:val="20"/>
                <w:szCs w:val="20"/>
              </w:rPr>
              <w:t>232</w:t>
            </w:r>
            <w:r w:rsidR="009B53FF">
              <w:rPr>
                <w:sz w:val="20"/>
                <w:szCs w:val="20"/>
              </w:rPr>
              <w:t>,</w:t>
            </w:r>
            <w:r w:rsidR="00697DC2">
              <w:rPr>
                <w:sz w:val="20"/>
                <w:szCs w:val="20"/>
              </w:rPr>
              <w:t>260.6</w:t>
            </w:r>
            <w:r w:rsidR="009B53FF">
              <w:rPr>
                <w:sz w:val="20"/>
                <w:szCs w:val="20"/>
              </w:rPr>
              <w:t>0</w:t>
            </w:r>
            <w:r w:rsidR="00697DC2">
              <w:rPr>
                <w:sz w:val="20"/>
                <w:szCs w:val="20"/>
              </w:rPr>
              <w:t xml:space="preserve"> </w:t>
            </w:r>
          </w:p>
        </w:tc>
      </w:tr>
      <w:tr w:rsidR="00254912" w:rsidTr="0045008B" w14:paraId="1BB46666" w14:textId="77777777">
        <w:tc>
          <w:tcPr>
            <w:tcW w:w="3865" w:type="dxa"/>
            <w:shd w:val="clear" w:color="auto" w:fill="auto"/>
            <w:tcMar>
              <w:top w:w="58" w:type="dxa"/>
              <w:left w:w="58" w:type="dxa"/>
              <w:bottom w:w="58" w:type="dxa"/>
              <w:right w:w="58" w:type="dxa"/>
            </w:tcMar>
            <w:vAlign w:val="center"/>
          </w:tcPr>
          <w:p w:rsidRPr="00A21201" w:rsidR="00254912" w:rsidP="00254912" w:rsidRDefault="00254912" w14:paraId="28AE50D1" w14:textId="77777777">
            <w:pPr>
              <w:rPr>
                <w:sz w:val="20"/>
                <w:szCs w:val="20"/>
              </w:rPr>
            </w:pPr>
            <w:r w:rsidRPr="00A21201">
              <w:rPr>
                <w:b/>
                <w:bCs/>
                <w:color w:val="000000"/>
                <w:sz w:val="20"/>
                <w:szCs w:val="20"/>
              </w:rPr>
              <w:t>Total</w:t>
            </w:r>
          </w:p>
        </w:tc>
        <w:tc>
          <w:tcPr>
            <w:tcW w:w="1389" w:type="dxa"/>
            <w:shd w:val="clear" w:color="auto" w:fill="auto"/>
            <w:tcMar>
              <w:top w:w="58" w:type="dxa"/>
              <w:left w:w="58" w:type="dxa"/>
              <w:bottom w:w="58" w:type="dxa"/>
              <w:right w:w="58" w:type="dxa"/>
            </w:tcMar>
          </w:tcPr>
          <w:p w:rsidRPr="00A21201" w:rsidR="00254912" w:rsidP="00254912" w:rsidRDefault="003830BB" w14:paraId="425F26C9" w14:textId="55E07917">
            <w:pPr>
              <w:jc w:val="center"/>
              <w:rPr>
                <w:b/>
                <w:sz w:val="20"/>
                <w:szCs w:val="20"/>
              </w:rPr>
            </w:pPr>
            <w:r w:rsidRPr="00A21201">
              <w:rPr>
                <w:b/>
                <w:sz w:val="20"/>
                <w:szCs w:val="20"/>
              </w:rPr>
              <w:t>13,000</w:t>
            </w:r>
            <w:r w:rsidRPr="00A21201" w:rsidR="00254912">
              <w:rPr>
                <w:b/>
                <w:sz w:val="20"/>
                <w:szCs w:val="20"/>
              </w:rPr>
              <w:t xml:space="preserve"> </w:t>
            </w:r>
          </w:p>
        </w:tc>
        <w:tc>
          <w:tcPr>
            <w:tcW w:w="1389" w:type="dxa"/>
            <w:shd w:val="clear" w:color="auto" w:fill="auto"/>
            <w:tcMar>
              <w:top w:w="58" w:type="dxa"/>
              <w:left w:w="58" w:type="dxa"/>
              <w:bottom w:w="58" w:type="dxa"/>
              <w:right w:w="58" w:type="dxa"/>
            </w:tcMar>
            <w:vAlign w:val="center"/>
          </w:tcPr>
          <w:p w:rsidRPr="00A21201" w:rsidR="00254912" w:rsidP="0033641B" w:rsidRDefault="003830BB" w14:paraId="575FC416" w14:textId="1F923A27">
            <w:pPr>
              <w:jc w:val="center"/>
              <w:rPr>
                <w:b/>
                <w:sz w:val="20"/>
                <w:szCs w:val="20"/>
              </w:rPr>
            </w:pPr>
            <w:r w:rsidRPr="00A21201">
              <w:rPr>
                <w:b/>
                <w:sz w:val="20"/>
                <w:szCs w:val="20"/>
              </w:rPr>
              <w:t>4,290</w:t>
            </w:r>
          </w:p>
        </w:tc>
        <w:tc>
          <w:tcPr>
            <w:tcW w:w="1389" w:type="dxa"/>
            <w:shd w:val="clear" w:color="auto" w:fill="auto"/>
            <w:tcMar>
              <w:top w:w="58" w:type="dxa"/>
              <w:left w:w="58" w:type="dxa"/>
              <w:bottom w:w="58" w:type="dxa"/>
              <w:right w:w="58" w:type="dxa"/>
            </w:tcMar>
            <w:vAlign w:val="center"/>
          </w:tcPr>
          <w:p w:rsidRPr="00A21201" w:rsidR="00254912" w:rsidRDefault="00254912" w14:paraId="0FF25C62" w14:textId="3E208153">
            <w:pPr>
              <w:jc w:val="center"/>
              <w:rPr>
                <w:b/>
                <w:sz w:val="20"/>
                <w:szCs w:val="20"/>
              </w:rPr>
            </w:pPr>
          </w:p>
        </w:tc>
        <w:tc>
          <w:tcPr>
            <w:tcW w:w="1390" w:type="dxa"/>
            <w:shd w:val="clear" w:color="auto" w:fill="auto"/>
            <w:tcMar>
              <w:top w:w="58" w:type="dxa"/>
              <w:left w:w="58" w:type="dxa"/>
              <w:bottom w:w="58" w:type="dxa"/>
              <w:right w:w="58" w:type="dxa"/>
            </w:tcMar>
            <w:vAlign w:val="center"/>
          </w:tcPr>
          <w:p w:rsidRPr="00A21201" w:rsidR="00254912" w:rsidP="00B84320" w:rsidRDefault="00375C3F" w14:paraId="5FCECDA7" w14:textId="7B439433">
            <w:pPr>
              <w:jc w:val="center"/>
              <w:rPr>
                <w:b/>
                <w:sz w:val="20"/>
                <w:szCs w:val="20"/>
              </w:rPr>
            </w:pPr>
            <w:r w:rsidRPr="00A21201">
              <w:rPr>
                <w:b/>
                <w:sz w:val="20"/>
                <w:szCs w:val="20"/>
              </w:rPr>
              <w:t>$</w:t>
            </w:r>
            <w:r w:rsidRPr="00546912" w:rsidR="00546912">
              <w:rPr>
                <w:b/>
                <w:sz w:val="20"/>
                <w:szCs w:val="20"/>
              </w:rPr>
              <w:t>232,260.60</w:t>
            </w:r>
          </w:p>
        </w:tc>
      </w:tr>
    </w:tbl>
    <w:p w:rsidRPr="00412C6F" w:rsidR="009B633D" w:rsidP="00A21201" w:rsidRDefault="00513808" w14:paraId="25D0F324" w14:textId="6BAD6B71">
      <w:pPr>
        <w:pStyle w:val="Heading2"/>
      </w:pPr>
      <w:bookmarkStart w:name="_Toc151782188" w:id="54"/>
      <w:bookmarkStart w:name="_Toc158526228" w:id="55"/>
      <w:bookmarkStart w:name="_Toc82433701" w:id="56"/>
      <w:r>
        <w:t xml:space="preserve">13. </w:t>
      </w:r>
      <w:r w:rsidRPr="00412C6F">
        <w:t xml:space="preserve">Estimates of Annualized Respondent Capital </w:t>
      </w:r>
      <w:r>
        <w:t xml:space="preserve">and </w:t>
      </w:r>
      <w:r w:rsidRPr="00412C6F" w:rsidR="009B633D">
        <w:t>Maintenance Costs</w:t>
      </w:r>
      <w:bookmarkEnd w:id="54"/>
      <w:bookmarkEnd w:id="55"/>
      <w:bookmarkEnd w:id="56"/>
    </w:p>
    <w:p w:rsidR="00E14FC3" w:rsidP="002D4D3A" w:rsidRDefault="00C205C8" w14:paraId="5C0C6E17" w14:textId="22406BC0">
      <w:pPr>
        <w:pStyle w:val="BodyText"/>
      </w:pPr>
      <w:r>
        <w:t>T</w:t>
      </w:r>
      <w:r w:rsidR="0080612B">
        <w:t>here are no direct costs to respondents other than their time to participate in the study.</w:t>
      </w:r>
    </w:p>
    <w:p w:rsidR="009B633D" w:rsidP="00A21201" w:rsidRDefault="009B633D" w14:paraId="6065A827" w14:textId="77777777">
      <w:pPr>
        <w:pStyle w:val="Heading2"/>
      </w:pPr>
      <w:bookmarkStart w:name="_Toc58725299" w:id="57"/>
      <w:bookmarkStart w:name="_Toc151782189" w:id="58"/>
      <w:bookmarkStart w:name="_Toc158526229" w:id="59"/>
      <w:bookmarkStart w:name="_Toc82433702" w:id="60"/>
      <w:r w:rsidRPr="00412C6F">
        <w:t xml:space="preserve">14. Estimates of </w:t>
      </w:r>
      <w:r w:rsidR="00DA79B5">
        <w:t xml:space="preserve">Total and </w:t>
      </w:r>
      <w:r w:rsidRPr="00412C6F">
        <w:t>Annualized Cost to the Government</w:t>
      </w:r>
      <w:bookmarkEnd w:id="57"/>
      <w:bookmarkEnd w:id="58"/>
      <w:bookmarkEnd w:id="59"/>
      <w:bookmarkEnd w:id="60"/>
    </w:p>
    <w:p w:rsidR="0084019A" w:rsidP="002D4D3A" w:rsidRDefault="0084019A" w14:paraId="4D48747B" w14:textId="7FBE1F9A">
      <w:pPr>
        <w:pStyle w:val="BodyText"/>
      </w:pPr>
      <w:r>
        <w:t xml:space="preserve">Table </w:t>
      </w:r>
      <w:r w:rsidR="00A71B1B">
        <w:t>3</w:t>
      </w:r>
      <w:r>
        <w:t xml:space="preserve"> and Table </w:t>
      </w:r>
      <w:r w:rsidR="00A71B1B">
        <w:t>4</w:t>
      </w:r>
      <w:r>
        <w:t xml:space="preserve"> show the estimated annualized cost to the government for the contractors and government personnel</w:t>
      </w:r>
      <w:r w:rsidR="00B43645">
        <w:t>, assuming one survey per year collected under the MBECS system</w:t>
      </w:r>
      <w:r w:rsidR="00BA7023">
        <w:t xml:space="preserve">, </w:t>
      </w:r>
      <w:r w:rsidR="00F22E80">
        <w:t>each of the three</w:t>
      </w:r>
      <w:r w:rsidR="00BA7023">
        <w:t xml:space="preserve"> years of clearance</w:t>
      </w:r>
      <w:r>
        <w:t xml:space="preserve">. Costs to the government will vary by sample size for individual information collection requests submitted under the MBECS System general clearance. Detailed cost estimates will be provided when </w:t>
      </w:r>
      <w:r w:rsidR="00F22E80">
        <w:t xml:space="preserve">the </w:t>
      </w:r>
      <w:r>
        <w:t>individual requests are submitted for OMB clearance.</w:t>
      </w:r>
    </w:p>
    <w:p w:rsidR="0084019A" w:rsidP="002D4D3A" w:rsidRDefault="0084019A" w14:paraId="50A9CE61" w14:textId="46F0C066">
      <w:pPr>
        <w:pStyle w:val="BodyText"/>
      </w:pPr>
      <w:r w:rsidRPr="00B07FB4">
        <w:lastRenderedPageBreak/>
        <w:t xml:space="preserve">The costs associated with the data collection activities for the project include the </w:t>
      </w:r>
      <w:r>
        <w:t xml:space="preserve">survey set up costs in year 1, data collection activities for the </w:t>
      </w:r>
      <w:r w:rsidRPr="00B07FB4">
        <w:t>contractor</w:t>
      </w:r>
      <w:r w:rsidR="006B36BE">
        <w:t xml:space="preserve">, respondent incentives, and data delivery, analysis, and reporting costs. </w:t>
      </w:r>
    </w:p>
    <w:p w:rsidRPr="00B07FB4" w:rsidR="001420A3" w:rsidP="002D4D3A" w:rsidRDefault="001420A3" w14:paraId="247D33DA" w14:textId="77777777">
      <w:pPr>
        <w:pStyle w:val="BodyText"/>
      </w:pPr>
    </w:p>
    <w:p w:rsidR="0084019A" w:rsidP="00DA2E7E" w:rsidRDefault="0084019A" w14:paraId="6900C73B" w14:textId="7000CD42">
      <w:pPr>
        <w:spacing w:after="120"/>
        <w:rPr>
          <w:sz w:val="22"/>
          <w:szCs w:val="22"/>
        </w:rPr>
      </w:pPr>
      <w:r>
        <w:rPr>
          <w:b/>
          <w:bCs/>
          <w:color w:val="000000"/>
        </w:rPr>
        <w:t>T</w:t>
      </w:r>
      <w:r w:rsidR="00A71B1B">
        <w:rPr>
          <w:b/>
          <w:bCs/>
          <w:color w:val="000000"/>
        </w:rPr>
        <w:t>able 3</w:t>
      </w:r>
      <w:r w:rsidR="00407917">
        <w:rPr>
          <w:b/>
          <w:bCs/>
          <w:color w:val="000000"/>
        </w:rPr>
        <w:t>.</w:t>
      </w:r>
      <w:r>
        <w:rPr>
          <w:b/>
          <w:bCs/>
          <w:color w:val="000000"/>
        </w:rPr>
        <w:t xml:space="preserve"> Estimated Total and Annualized Cost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70"/>
        <w:gridCol w:w="2250"/>
        <w:gridCol w:w="2250"/>
      </w:tblGrid>
      <w:tr w:rsidRPr="0084019A" w:rsidR="0084019A" w:rsidTr="00DA2E7E" w14:paraId="0807DF76" w14:textId="77777777">
        <w:tc>
          <w:tcPr>
            <w:tcW w:w="4670" w:type="dxa"/>
            <w:tcMar>
              <w:top w:w="58" w:type="dxa"/>
              <w:left w:w="58" w:type="dxa"/>
              <w:bottom w:w="58" w:type="dxa"/>
              <w:right w:w="58" w:type="dxa"/>
            </w:tcMar>
            <w:vAlign w:val="bottom"/>
            <w:hideMark/>
          </w:tcPr>
          <w:p w:rsidRPr="00DA2E7E" w:rsidR="0084019A" w:rsidP="001B5B5B" w:rsidRDefault="0084019A" w14:paraId="5DE7FEAB" w14:textId="77777777">
            <w:pPr>
              <w:rPr>
                <w:sz w:val="20"/>
                <w:szCs w:val="20"/>
              </w:rPr>
            </w:pPr>
            <w:r w:rsidRPr="00DA2E7E">
              <w:rPr>
                <w:b/>
                <w:bCs/>
                <w:color w:val="000000"/>
                <w:sz w:val="20"/>
                <w:szCs w:val="20"/>
              </w:rPr>
              <w:t xml:space="preserve">Cost Component </w:t>
            </w:r>
          </w:p>
        </w:tc>
        <w:tc>
          <w:tcPr>
            <w:tcW w:w="2250" w:type="dxa"/>
            <w:tcMar>
              <w:top w:w="58" w:type="dxa"/>
              <w:left w:w="58" w:type="dxa"/>
              <w:bottom w:w="58" w:type="dxa"/>
              <w:right w:w="58" w:type="dxa"/>
            </w:tcMar>
            <w:vAlign w:val="center"/>
            <w:hideMark/>
          </w:tcPr>
          <w:p w:rsidRPr="00DA2E7E" w:rsidR="0084019A" w:rsidP="001B5B5B" w:rsidRDefault="0084019A" w14:paraId="2821D6F7" w14:textId="6C586B58">
            <w:pPr>
              <w:jc w:val="center"/>
              <w:rPr>
                <w:sz w:val="20"/>
                <w:szCs w:val="20"/>
              </w:rPr>
            </w:pPr>
            <w:r w:rsidRPr="00DA2E7E">
              <w:rPr>
                <w:b/>
                <w:bCs/>
                <w:sz w:val="20"/>
                <w:szCs w:val="20"/>
              </w:rPr>
              <w:t>Total Cost</w:t>
            </w:r>
            <w:r w:rsidRPr="00DA2E7E" w:rsidR="004A6F69">
              <w:rPr>
                <w:b/>
                <w:bCs/>
                <w:sz w:val="20"/>
                <w:szCs w:val="20"/>
              </w:rPr>
              <w:t>*</w:t>
            </w:r>
          </w:p>
        </w:tc>
        <w:tc>
          <w:tcPr>
            <w:tcW w:w="2250" w:type="dxa"/>
            <w:tcMar>
              <w:top w:w="58" w:type="dxa"/>
              <w:left w:w="58" w:type="dxa"/>
              <w:bottom w:w="58" w:type="dxa"/>
              <w:right w:w="58" w:type="dxa"/>
            </w:tcMar>
            <w:vAlign w:val="center"/>
            <w:hideMark/>
          </w:tcPr>
          <w:p w:rsidRPr="00DA2E7E" w:rsidR="0084019A" w:rsidP="001B5B5B" w:rsidRDefault="0084019A" w14:paraId="35408A56" w14:textId="77777777">
            <w:pPr>
              <w:jc w:val="center"/>
              <w:rPr>
                <w:sz w:val="20"/>
                <w:szCs w:val="20"/>
              </w:rPr>
            </w:pPr>
            <w:r w:rsidRPr="00DA2E7E">
              <w:rPr>
                <w:b/>
                <w:bCs/>
                <w:sz w:val="20"/>
                <w:szCs w:val="20"/>
              </w:rPr>
              <w:t>Annualized Cost</w:t>
            </w:r>
          </w:p>
        </w:tc>
      </w:tr>
      <w:tr w:rsidRPr="0084019A" w:rsidR="0084019A" w:rsidTr="00DA2E7E" w14:paraId="007091BF" w14:textId="77777777">
        <w:tc>
          <w:tcPr>
            <w:tcW w:w="4670" w:type="dxa"/>
            <w:tcMar>
              <w:top w:w="58" w:type="dxa"/>
              <w:left w:w="58" w:type="dxa"/>
              <w:bottom w:w="58" w:type="dxa"/>
              <w:right w:w="58" w:type="dxa"/>
            </w:tcMar>
            <w:vAlign w:val="center"/>
          </w:tcPr>
          <w:p w:rsidRPr="00DA2E7E" w:rsidR="0084019A" w:rsidP="003830BB" w:rsidRDefault="0084019A" w14:paraId="43EE55E9" w14:textId="410AD212">
            <w:pPr>
              <w:rPr>
                <w:sz w:val="20"/>
                <w:szCs w:val="20"/>
              </w:rPr>
            </w:pPr>
            <w:r w:rsidRPr="00DA2E7E">
              <w:rPr>
                <w:sz w:val="20"/>
                <w:szCs w:val="20"/>
              </w:rPr>
              <w:t xml:space="preserve">Survey set up costs (includes web and CATI programming of the MBECS instrument, management costs) – year 1 only </w:t>
            </w:r>
          </w:p>
        </w:tc>
        <w:tc>
          <w:tcPr>
            <w:tcW w:w="2250" w:type="dxa"/>
            <w:tcMar>
              <w:top w:w="58" w:type="dxa"/>
              <w:left w:w="58" w:type="dxa"/>
              <w:bottom w:w="58" w:type="dxa"/>
              <w:right w:w="58" w:type="dxa"/>
            </w:tcMar>
            <w:vAlign w:val="center"/>
          </w:tcPr>
          <w:p w:rsidRPr="00DA2E7E" w:rsidR="0084019A" w:rsidP="003830BB" w:rsidRDefault="00B43645" w14:paraId="29629A2C" w14:textId="74F3A91D">
            <w:pPr>
              <w:jc w:val="center"/>
              <w:rPr>
                <w:sz w:val="20"/>
                <w:szCs w:val="20"/>
              </w:rPr>
            </w:pPr>
            <w:r w:rsidRPr="00DA2E7E">
              <w:rPr>
                <w:sz w:val="20"/>
                <w:szCs w:val="20"/>
              </w:rPr>
              <w:t>$32,333</w:t>
            </w:r>
          </w:p>
        </w:tc>
        <w:tc>
          <w:tcPr>
            <w:tcW w:w="2250" w:type="dxa"/>
            <w:tcMar>
              <w:top w:w="58" w:type="dxa"/>
              <w:left w:w="58" w:type="dxa"/>
              <w:bottom w:w="58" w:type="dxa"/>
              <w:right w:w="58" w:type="dxa"/>
            </w:tcMar>
            <w:vAlign w:val="center"/>
          </w:tcPr>
          <w:p w:rsidRPr="00DA2E7E" w:rsidR="002965B0" w:rsidP="001B5B5B" w:rsidRDefault="00B43645" w14:paraId="127D629E" w14:textId="77777777">
            <w:pPr>
              <w:jc w:val="center"/>
              <w:rPr>
                <w:sz w:val="20"/>
                <w:szCs w:val="20"/>
              </w:rPr>
            </w:pPr>
            <w:r w:rsidRPr="00DA2E7E">
              <w:rPr>
                <w:sz w:val="20"/>
                <w:szCs w:val="20"/>
              </w:rPr>
              <w:t xml:space="preserve">$32,333 </w:t>
            </w:r>
          </w:p>
          <w:p w:rsidRPr="00DA2E7E" w:rsidR="0084019A" w:rsidP="001B5B5B" w:rsidRDefault="00B43645" w14:paraId="46C14B3F" w14:textId="3DFD7F56">
            <w:pPr>
              <w:jc w:val="center"/>
              <w:rPr>
                <w:sz w:val="20"/>
                <w:szCs w:val="20"/>
              </w:rPr>
            </w:pPr>
            <w:r w:rsidRPr="00DA2E7E">
              <w:rPr>
                <w:sz w:val="20"/>
                <w:szCs w:val="20"/>
              </w:rPr>
              <w:t>(year 1 only)</w:t>
            </w:r>
          </w:p>
        </w:tc>
      </w:tr>
      <w:tr w:rsidRPr="0084019A" w:rsidR="0084019A" w:rsidTr="00DA2E7E" w14:paraId="5FC716C3" w14:textId="77777777">
        <w:tc>
          <w:tcPr>
            <w:tcW w:w="4670" w:type="dxa"/>
            <w:tcMar>
              <w:top w:w="58" w:type="dxa"/>
              <w:left w:w="58" w:type="dxa"/>
              <w:bottom w:w="58" w:type="dxa"/>
              <w:right w:w="58" w:type="dxa"/>
            </w:tcMar>
            <w:vAlign w:val="center"/>
            <w:hideMark/>
          </w:tcPr>
          <w:p w:rsidRPr="00DA2E7E" w:rsidR="0084019A" w:rsidP="006B36BE" w:rsidRDefault="0084019A" w14:paraId="311459A8" w14:textId="77FD602E">
            <w:pPr>
              <w:rPr>
                <w:sz w:val="20"/>
                <w:szCs w:val="20"/>
              </w:rPr>
            </w:pPr>
            <w:r w:rsidRPr="00DA2E7E">
              <w:rPr>
                <w:sz w:val="20"/>
                <w:szCs w:val="20"/>
              </w:rPr>
              <w:t xml:space="preserve">Data Collection (includes survey printing and postage, data entry, CATI interviewing, management costs, OMB submissions, NORC IRB </w:t>
            </w:r>
            <w:proofErr w:type="gramStart"/>
            <w:r w:rsidRPr="00DA2E7E">
              <w:rPr>
                <w:sz w:val="20"/>
                <w:szCs w:val="20"/>
              </w:rPr>
              <w:t>review)*</w:t>
            </w:r>
            <w:proofErr w:type="gramEnd"/>
            <w:r w:rsidRPr="00DA2E7E">
              <w:rPr>
                <w:sz w:val="20"/>
                <w:szCs w:val="20"/>
              </w:rPr>
              <w:t xml:space="preserve"> </w:t>
            </w:r>
          </w:p>
        </w:tc>
        <w:tc>
          <w:tcPr>
            <w:tcW w:w="2250" w:type="dxa"/>
            <w:tcMar>
              <w:top w:w="58" w:type="dxa"/>
              <w:left w:w="58" w:type="dxa"/>
              <w:bottom w:w="58" w:type="dxa"/>
              <w:right w:w="58" w:type="dxa"/>
            </w:tcMar>
            <w:vAlign w:val="center"/>
          </w:tcPr>
          <w:p w:rsidRPr="00DA2E7E" w:rsidR="0084019A" w:rsidP="003830BB" w:rsidRDefault="00B43645" w14:paraId="74C046D0" w14:textId="3F2791D5">
            <w:pPr>
              <w:jc w:val="center"/>
              <w:rPr>
                <w:sz w:val="20"/>
                <w:szCs w:val="20"/>
              </w:rPr>
            </w:pPr>
            <w:r w:rsidRPr="00DA2E7E">
              <w:rPr>
                <w:sz w:val="20"/>
                <w:szCs w:val="20"/>
              </w:rPr>
              <w:t>$</w:t>
            </w:r>
            <w:r w:rsidRPr="00DA2E7E" w:rsidR="003830BB">
              <w:rPr>
                <w:sz w:val="20"/>
                <w:szCs w:val="20"/>
              </w:rPr>
              <w:t>1,391,832</w:t>
            </w:r>
          </w:p>
        </w:tc>
        <w:tc>
          <w:tcPr>
            <w:tcW w:w="2250" w:type="dxa"/>
            <w:tcMar>
              <w:top w:w="58" w:type="dxa"/>
              <w:left w:w="58" w:type="dxa"/>
              <w:bottom w:w="58" w:type="dxa"/>
              <w:right w:w="58" w:type="dxa"/>
            </w:tcMar>
            <w:vAlign w:val="center"/>
          </w:tcPr>
          <w:p w:rsidRPr="00DA2E7E" w:rsidR="002965B0" w:rsidP="001B5B5B" w:rsidRDefault="00B43645" w14:paraId="195D2F41" w14:textId="77777777">
            <w:pPr>
              <w:jc w:val="center"/>
              <w:rPr>
                <w:sz w:val="20"/>
                <w:szCs w:val="20"/>
              </w:rPr>
            </w:pPr>
            <w:r w:rsidRPr="00DA2E7E">
              <w:rPr>
                <w:sz w:val="20"/>
                <w:szCs w:val="20"/>
              </w:rPr>
              <w:t>$463,944</w:t>
            </w:r>
            <w:r w:rsidRPr="00DA2E7E" w:rsidR="00BA7023">
              <w:rPr>
                <w:sz w:val="20"/>
                <w:szCs w:val="20"/>
              </w:rPr>
              <w:t xml:space="preserve"> </w:t>
            </w:r>
          </w:p>
          <w:p w:rsidRPr="00DA2E7E" w:rsidR="0084019A" w:rsidP="001B5B5B" w:rsidRDefault="0084019A" w14:paraId="0F699007" w14:textId="6C127716">
            <w:pPr>
              <w:jc w:val="center"/>
              <w:rPr>
                <w:sz w:val="20"/>
                <w:szCs w:val="20"/>
              </w:rPr>
            </w:pPr>
          </w:p>
        </w:tc>
      </w:tr>
      <w:tr w:rsidRPr="0084019A" w:rsidR="006D6F8A" w:rsidTr="00DA2E7E" w14:paraId="0761EC23" w14:textId="77777777">
        <w:tc>
          <w:tcPr>
            <w:tcW w:w="4670" w:type="dxa"/>
            <w:tcMar>
              <w:top w:w="58" w:type="dxa"/>
              <w:left w:w="58" w:type="dxa"/>
              <w:bottom w:w="58" w:type="dxa"/>
              <w:right w:w="58" w:type="dxa"/>
            </w:tcMar>
            <w:vAlign w:val="center"/>
          </w:tcPr>
          <w:p w:rsidRPr="00DA2E7E" w:rsidR="006D6F8A" w:rsidP="006D6F8A" w:rsidRDefault="006D6F8A" w14:paraId="0498188F" w14:textId="28A8117E">
            <w:pPr>
              <w:rPr>
                <w:sz w:val="20"/>
                <w:szCs w:val="20"/>
              </w:rPr>
            </w:pPr>
            <w:r w:rsidRPr="00DA2E7E">
              <w:rPr>
                <w:sz w:val="20"/>
                <w:szCs w:val="20"/>
              </w:rPr>
              <w:t xml:space="preserve">Respondent incentives (includes $2 pre-paid incentives and </w:t>
            </w:r>
            <w:r w:rsidRPr="00DA2E7E" w:rsidR="00724079">
              <w:rPr>
                <w:sz w:val="20"/>
                <w:szCs w:val="20"/>
              </w:rPr>
              <w:t>$10 early bird incentives for web surveys completed within first two weeks)</w:t>
            </w:r>
          </w:p>
        </w:tc>
        <w:tc>
          <w:tcPr>
            <w:tcW w:w="2250" w:type="dxa"/>
            <w:tcMar>
              <w:top w:w="58" w:type="dxa"/>
              <w:left w:w="58" w:type="dxa"/>
              <w:bottom w:w="58" w:type="dxa"/>
              <w:right w:w="58" w:type="dxa"/>
            </w:tcMar>
            <w:vAlign w:val="center"/>
          </w:tcPr>
          <w:p w:rsidRPr="00DA2E7E" w:rsidR="006D6F8A" w:rsidP="003830BB" w:rsidRDefault="00B43645" w14:paraId="59F2E33D" w14:textId="1B6F779D">
            <w:pPr>
              <w:jc w:val="center"/>
              <w:rPr>
                <w:sz w:val="20"/>
                <w:szCs w:val="20"/>
              </w:rPr>
            </w:pPr>
            <w:r w:rsidRPr="00DA2E7E">
              <w:rPr>
                <w:sz w:val="20"/>
                <w:szCs w:val="20"/>
              </w:rPr>
              <w:t>$</w:t>
            </w:r>
            <w:r w:rsidRPr="00DA2E7E" w:rsidR="003830BB">
              <w:rPr>
                <w:sz w:val="20"/>
                <w:szCs w:val="20"/>
              </w:rPr>
              <w:t>225,879</w:t>
            </w:r>
          </w:p>
        </w:tc>
        <w:tc>
          <w:tcPr>
            <w:tcW w:w="2250" w:type="dxa"/>
            <w:tcMar>
              <w:top w:w="58" w:type="dxa"/>
              <w:left w:w="58" w:type="dxa"/>
              <w:bottom w:w="58" w:type="dxa"/>
              <w:right w:w="58" w:type="dxa"/>
            </w:tcMar>
            <w:vAlign w:val="center"/>
          </w:tcPr>
          <w:p w:rsidRPr="00DA2E7E" w:rsidR="002965B0" w:rsidP="001B5B5B" w:rsidRDefault="00B43645" w14:paraId="78BD2CC6" w14:textId="77777777">
            <w:pPr>
              <w:jc w:val="center"/>
              <w:rPr>
                <w:sz w:val="20"/>
                <w:szCs w:val="20"/>
              </w:rPr>
            </w:pPr>
            <w:r w:rsidRPr="00DA2E7E">
              <w:rPr>
                <w:sz w:val="20"/>
                <w:szCs w:val="20"/>
              </w:rPr>
              <w:t>$75,293</w:t>
            </w:r>
            <w:r w:rsidRPr="00DA2E7E" w:rsidR="00BA7023">
              <w:rPr>
                <w:sz w:val="20"/>
                <w:szCs w:val="20"/>
              </w:rPr>
              <w:t xml:space="preserve"> </w:t>
            </w:r>
          </w:p>
          <w:p w:rsidRPr="00DA2E7E" w:rsidR="006D6F8A" w:rsidP="001B5B5B" w:rsidRDefault="006D6F8A" w14:paraId="56048B54" w14:textId="765073BE">
            <w:pPr>
              <w:jc w:val="center"/>
              <w:rPr>
                <w:sz w:val="20"/>
                <w:szCs w:val="20"/>
              </w:rPr>
            </w:pPr>
          </w:p>
        </w:tc>
      </w:tr>
      <w:tr w:rsidRPr="0084019A" w:rsidR="0084019A" w:rsidTr="00DA2E7E" w14:paraId="38F8FCDC" w14:textId="77777777">
        <w:tc>
          <w:tcPr>
            <w:tcW w:w="4670" w:type="dxa"/>
            <w:tcMar>
              <w:top w:w="58" w:type="dxa"/>
              <w:left w:w="58" w:type="dxa"/>
              <w:bottom w:w="58" w:type="dxa"/>
              <w:right w:w="58" w:type="dxa"/>
            </w:tcMar>
            <w:vAlign w:val="center"/>
            <w:hideMark/>
          </w:tcPr>
          <w:p w:rsidRPr="00DA2E7E" w:rsidR="0084019A" w:rsidP="00407917" w:rsidRDefault="0084019A" w14:paraId="73C115D9" w14:textId="183C81D2">
            <w:pPr>
              <w:rPr>
                <w:sz w:val="20"/>
                <w:szCs w:val="20"/>
              </w:rPr>
            </w:pPr>
            <w:r w:rsidRPr="00DA2E7E">
              <w:rPr>
                <w:sz w:val="20"/>
                <w:szCs w:val="20"/>
              </w:rPr>
              <w:t xml:space="preserve">Data </w:t>
            </w:r>
            <w:r w:rsidRPr="00DA2E7E" w:rsidR="00407917">
              <w:rPr>
                <w:sz w:val="20"/>
                <w:szCs w:val="20"/>
              </w:rPr>
              <w:t>a</w:t>
            </w:r>
            <w:r w:rsidRPr="00DA2E7E" w:rsidR="006B36BE">
              <w:rPr>
                <w:sz w:val="20"/>
                <w:szCs w:val="20"/>
              </w:rPr>
              <w:t>nalysis,</w:t>
            </w:r>
            <w:r w:rsidRPr="00DA2E7E">
              <w:rPr>
                <w:sz w:val="20"/>
                <w:szCs w:val="20"/>
              </w:rPr>
              <w:t xml:space="preserve"> </w:t>
            </w:r>
            <w:r w:rsidRPr="00DA2E7E" w:rsidR="00407917">
              <w:rPr>
                <w:sz w:val="20"/>
                <w:szCs w:val="20"/>
              </w:rPr>
              <w:t>r</w:t>
            </w:r>
            <w:r w:rsidRPr="00DA2E7E">
              <w:rPr>
                <w:sz w:val="20"/>
                <w:szCs w:val="20"/>
              </w:rPr>
              <w:t>eports</w:t>
            </w:r>
            <w:r w:rsidRPr="00DA2E7E" w:rsidR="00407917">
              <w:rPr>
                <w:sz w:val="20"/>
                <w:szCs w:val="20"/>
              </w:rPr>
              <w:t>, and delivery</w:t>
            </w:r>
          </w:p>
        </w:tc>
        <w:tc>
          <w:tcPr>
            <w:tcW w:w="2250" w:type="dxa"/>
            <w:tcMar>
              <w:top w:w="58" w:type="dxa"/>
              <w:left w:w="58" w:type="dxa"/>
              <w:bottom w:w="58" w:type="dxa"/>
              <w:right w:w="58" w:type="dxa"/>
            </w:tcMar>
            <w:vAlign w:val="center"/>
          </w:tcPr>
          <w:p w:rsidRPr="00DA2E7E" w:rsidR="0084019A" w:rsidP="003830BB" w:rsidRDefault="00BA7023" w14:paraId="51700BF5" w14:textId="07752F4C">
            <w:pPr>
              <w:jc w:val="center"/>
              <w:rPr>
                <w:sz w:val="20"/>
                <w:szCs w:val="20"/>
              </w:rPr>
            </w:pPr>
            <w:r w:rsidRPr="00DA2E7E">
              <w:rPr>
                <w:sz w:val="20"/>
                <w:szCs w:val="20"/>
              </w:rPr>
              <w:t>$</w:t>
            </w:r>
            <w:r w:rsidRPr="00DA2E7E" w:rsidR="003830BB">
              <w:rPr>
                <w:sz w:val="20"/>
                <w:szCs w:val="20"/>
              </w:rPr>
              <w:t>121,173</w:t>
            </w:r>
          </w:p>
        </w:tc>
        <w:tc>
          <w:tcPr>
            <w:tcW w:w="2250" w:type="dxa"/>
            <w:tcMar>
              <w:top w:w="58" w:type="dxa"/>
              <w:left w:w="58" w:type="dxa"/>
              <w:bottom w:w="58" w:type="dxa"/>
              <w:right w:w="58" w:type="dxa"/>
            </w:tcMar>
            <w:vAlign w:val="center"/>
          </w:tcPr>
          <w:p w:rsidRPr="00DA2E7E" w:rsidR="002965B0" w:rsidP="001B5B5B" w:rsidRDefault="00B43645" w14:paraId="1EA756EF" w14:textId="77777777">
            <w:pPr>
              <w:jc w:val="center"/>
              <w:rPr>
                <w:sz w:val="20"/>
                <w:szCs w:val="20"/>
              </w:rPr>
            </w:pPr>
            <w:r w:rsidRPr="00DA2E7E">
              <w:rPr>
                <w:sz w:val="20"/>
                <w:szCs w:val="20"/>
              </w:rPr>
              <w:t>$40,391</w:t>
            </w:r>
            <w:r w:rsidRPr="00DA2E7E" w:rsidR="00BA7023">
              <w:rPr>
                <w:sz w:val="20"/>
                <w:szCs w:val="20"/>
              </w:rPr>
              <w:t xml:space="preserve"> </w:t>
            </w:r>
          </w:p>
          <w:p w:rsidRPr="00DA2E7E" w:rsidR="0084019A" w:rsidP="001B5B5B" w:rsidRDefault="0084019A" w14:paraId="5287A605" w14:textId="35A4200C">
            <w:pPr>
              <w:jc w:val="center"/>
              <w:rPr>
                <w:sz w:val="20"/>
                <w:szCs w:val="20"/>
              </w:rPr>
            </w:pPr>
          </w:p>
        </w:tc>
      </w:tr>
      <w:tr w:rsidRPr="0084019A" w:rsidR="0084019A" w:rsidTr="00DA2E7E" w14:paraId="258C1C48" w14:textId="77777777">
        <w:tc>
          <w:tcPr>
            <w:tcW w:w="4670" w:type="dxa"/>
            <w:tcMar>
              <w:top w:w="58" w:type="dxa"/>
              <w:left w:w="58" w:type="dxa"/>
              <w:bottom w:w="58" w:type="dxa"/>
              <w:right w:w="58" w:type="dxa"/>
            </w:tcMar>
            <w:vAlign w:val="center"/>
            <w:hideMark/>
          </w:tcPr>
          <w:p w:rsidRPr="00DA2E7E" w:rsidR="0084019A" w:rsidP="001B5B5B" w:rsidRDefault="0084019A" w14:paraId="4309651B" w14:textId="77777777">
            <w:pPr>
              <w:rPr>
                <w:sz w:val="20"/>
                <w:szCs w:val="20"/>
              </w:rPr>
            </w:pPr>
            <w:r w:rsidRPr="00DA2E7E">
              <w:rPr>
                <w:b/>
                <w:bCs/>
                <w:color w:val="000000"/>
                <w:sz w:val="20"/>
                <w:szCs w:val="20"/>
              </w:rPr>
              <w:t>Total</w:t>
            </w:r>
          </w:p>
        </w:tc>
        <w:tc>
          <w:tcPr>
            <w:tcW w:w="2250" w:type="dxa"/>
            <w:tcMar>
              <w:top w:w="58" w:type="dxa"/>
              <w:left w:w="58" w:type="dxa"/>
              <w:bottom w:w="58" w:type="dxa"/>
              <w:right w:w="58" w:type="dxa"/>
            </w:tcMar>
            <w:vAlign w:val="center"/>
          </w:tcPr>
          <w:p w:rsidRPr="00DA2E7E" w:rsidR="0084019A" w:rsidP="003830BB" w:rsidRDefault="00B43645" w14:paraId="5A7886D6" w14:textId="746E30FE">
            <w:pPr>
              <w:jc w:val="center"/>
              <w:rPr>
                <w:b/>
                <w:sz w:val="20"/>
                <w:szCs w:val="20"/>
              </w:rPr>
            </w:pPr>
            <w:r w:rsidRPr="00DA2E7E">
              <w:rPr>
                <w:b/>
                <w:sz w:val="20"/>
                <w:szCs w:val="20"/>
              </w:rPr>
              <w:t>$</w:t>
            </w:r>
            <w:r w:rsidRPr="00DA2E7E" w:rsidR="003830BB">
              <w:rPr>
                <w:b/>
                <w:sz w:val="20"/>
                <w:szCs w:val="20"/>
              </w:rPr>
              <w:t>1,771,217</w:t>
            </w:r>
          </w:p>
        </w:tc>
        <w:tc>
          <w:tcPr>
            <w:tcW w:w="2250" w:type="dxa"/>
            <w:tcMar>
              <w:top w:w="58" w:type="dxa"/>
              <w:left w:w="58" w:type="dxa"/>
              <w:bottom w:w="58" w:type="dxa"/>
              <w:right w:w="58" w:type="dxa"/>
            </w:tcMar>
            <w:vAlign w:val="center"/>
          </w:tcPr>
          <w:p w:rsidRPr="00DA2E7E" w:rsidR="002965B0" w:rsidP="002965B0" w:rsidRDefault="00B43645" w14:paraId="5021E908" w14:textId="77777777">
            <w:pPr>
              <w:jc w:val="center"/>
              <w:rPr>
                <w:b/>
                <w:sz w:val="20"/>
                <w:szCs w:val="20"/>
              </w:rPr>
            </w:pPr>
            <w:r w:rsidRPr="00DA2E7E">
              <w:rPr>
                <w:b/>
                <w:sz w:val="20"/>
                <w:szCs w:val="20"/>
              </w:rPr>
              <w:t>$611,961</w:t>
            </w:r>
            <w:r w:rsidRPr="00DA2E7E" w:rsidR="002965B0">
              <w:rPr>
                <w:b/>
                <w:sz w:val="20"/>
                <w:szCs w:val="20"/>
              </w:rPr>
              <w:t xml:space="preserve"> </w:t>
            </w:r>
          </w:p>
          <w:p w:rsidRPr="00DA2E7E" w:rsidR="0084019A" w:rsidP="002965B0" w:rsidRDefault="0084019A" w14:paraId="5CD9AB43" w14:textId="425A68CC">
            <w:pPr>
              <w:jc w:val="center"/>
              <w:rPr>
                <w:sz w:val="20"/>
                <w:szCs w:val="20"/>
              </w:rPr>
            </w:pPr>
          </w:p>
        </w:tc>
      </w:tr>
    </w:tbl>
    <w:p w:rsidRPr="0045008B" w:rsidR="0084019A" w:rsidP="0045008B" w:rsidRDefault="0084019A" w14:paraId="0B25C210" w14:textId="32927666">
      <w:pPr>
        <w:spacing w:before="120"/>
        <w:rPr>
          <w:sz w:val="18"/>
          <w:szCs w:val="18"/>
        </w:rPr>
      </w:pPr>
      <w:r w:rsidRPr="0045008B">
        <w:rPr>
          <w:sz w:val="18"/>
          <w:szCs w:val="18"/>
        </w:rPr>
        <w:t>*</w:t>
      </w:r>
      <w:r w:rsidR="0045008B">
        <w:rPr>
          <w:sz w:val="18"/>
          <w:szCs w:val="18"/>
        </w:rPr>
        <w:t xml:space="preserve"> </w:t>
      </w:r>
      <w:r w:rsidRPr="0045008B" w:rsidR="00BA7023">
        <w:rPr>
          <w:sz w:val="18"/>
          <w:szCs w:val="18"/>
        </w:rPr>
        <w:t>A</w:t>
      </w:r>
      <w:r w:rsidRPr="0045008B">
        <w:rPr>
          <w:sz w:val="18"/>
          <w:szCs w:val="18"/>
        </w:rPr>
        <w:t>ssumes</w:t>
      </w:r>
      <w:r w:rsidRPr="0045008B" w:rsidR="006B36BE">
        <w:rPr>
          <w:sz w:val="18"/>
          <w:szCs w:val="18"/>
        </w:rPr>
        <w:t xml:space="preserve"> an estimated</w:t>
      </w:r>
      <w:r w:rsidRPr="0045008B" w:rsidR="00BA7023">
        <w:rPr>
          <w:sz w:val="18"/>
          <w:szCs w:val="18"/>
        </w:rPr>
        <w:t xml:space="preserve"> total completes of 8</w:t>
      </w:r>
      <w:r w:rsidRPr="0045008B">
        <w:rPr>
          <w:sz w:val="18"/>
          <w:szCs w:val="18"/>
        </w:rPr>
        <w:t xml:space="preserve">,000 </w:t>
      </w:r>
      <w:r w:rsidRPr="0045008B" w:rsidR="004A6F69">
        <w:rPr>
          <w:sz w:val="18"/>
          <w:szCs w:val="18"/>
        </w:rPr>
        <w:t xml:space="preserve">for data collection, </w:t>
      </w:r>
      <w:r w:rsidRPr="0045008B" w:rsidR="00BA7023">
        <w:rPr>
          <w:sz w:val="18"/>
          <w:szCs w:val="18"/>
        </w:rPr>
        <w:t>as described in Table 3</w:t>
      </w:r>
      <w:r w:rsidRPr="0045008B" w:rsidR="00A71B1B">
        <w:rPr>
          <w:sz w:val="18"/>
          <w:szCs w:val="18"/>
        </w:rPr>
        <w:t xml:space="preserve"> </w:t>
      </w:r>
      <w:r w:rsidRPr="0045008B">
        <w:rPr>
          <w:sz w:val="18"/>
          <w:szCs w:val="18"/>
        </w:rPr>
        <w:t xml:space="preserve">above. </w:t>
      </w:r>
      <w:r w:rsidRPr="0045008B" w:rsidR="00620041">
        <w:rPr>
          <w:sz w:val="18"/>
          <w:szCs w:val="18"/>
        </w:rPr>
        <w:t>Annual d</w:t>
      </w:r>
      <w:r w:rsidRPr="0045008B" w:rsidR="006D6F8A">
        <w:rPr>
          <w:sz w:val="18"/>
          <w:szCs w:val="18"/>
        </w:rPr>
        <w:t xml:space="preserve">ata collection </w:t>
      </w:r>
      <w:r w:rsidRPr="0045008B">
        <w:rPr>
          <w:sz w:val="18"/>
          <w:szCs w:val="18"/>
        </w:rPr>
        <w:t>costs will vary depending on sample sizes for individual surveys conducted under the MBECS system.</w:t>
      </w:r>
    </w:p>
    <w:p w:rsidR="00E25B8E" w:rsidP="00DA2E7E" w:rsidRDefault="0084019A" w14:paraId="008DD7D4" w14:textId="69CF4AD2">
      <w:pPr>
        <w:spacing w:before="240" w:after="120"/>
        <w:rPr>
          <w:b/>
        </w:rPr>
      </w:pPr>
      <w:r>
        <w:rPr>
          <w:b/>
        </w:rPr>
        <w:t>Table</w:t>
      </w:r>
      <w:r w:rsidRPr="00DA79B5">
        <w:rPr>
          <w:b/>
        </w:rPr>
        <w:t xml:space="preserve"> </w:t>
      </w:r>
      <w:r w:rsidR="00A71B1B">
        <w:rPr>
          <w:b/>
        </w:rPr>
        <w:t>4</w:t>
      </w:r>
      <w:r w:rsidR="00407917">
        <w:rPr>
          <w:b/>
        </w:rPr>
        <w:t>.</w:t>
      </w:r>
      <w:r w:rsidRPr="00DA79B5">
        <w:rPr>
          <w:b/>
        </w:rPr>
        <w:t xml:space="preserve"> Federal Government Personnel Cost</w:t>
      </w:r>
    </w:p>
    <w:tbl>
      <w:tblPr>
        <w:tblStyle w:val="TableGrid"/>
        <w:tblW w:w="5000" w:type="pct"/>
        <w:tblLook w:val="04A0" w:firstRow="1" w:lastRow="0" w:firstColumn="1" w:lastColumn="0" w:noHBand="0" w:noVBand="1"/>
      </w:tblPr>
      <w:tblGrid>
        <w:gridCol w:w="2825"/>
        <w:gridCol w:w="2175"/>
        <w:gridCol w:w="2175"/>
        <w:gridCol w:w="2175"/>
      </w:tblGrid>
      <w:tr w:rsidRPr="00DA2E7E" w:rsidR="00E25B8E" w:rsidTr="0045008B" w14:paraId="01B66BB7" w14:textId="77777777">
        <w:tc>
          <w:tcPr>
            <w:tcW w:w="2825" w:type="dxa"/>
            <w:tcMar>
              <w:top w:w="58" w:type="dxa"/>
              <w:left w:w="58" w:type="dxa"/>
              <w:bottom w:w="58" w:type="dxa"/>
              <w:right w:w="58" w:type="dxa"/>
            </w:tcMar>
          </w:tcPr>
          <w:p w:rsidRPr="00DA2E7E" w:rsidR="00E25B8E" w:rsidP="0084019A" w:rsidRDefault="00E25B8E" w14:paraId="16549A89" w14:textId="160F795B">
            <w:pPr>
              <w:rPr>
                <w:b/>
                <w:sz w:val="20"/>
                <w:szCs w:val="20"/>
              </w:rPr>
            </w:pPr>
            <w:r w:rsidRPr="00DA2E7E">
              <w:rPr>
                <w:b/>
                <w:sz w:val="20"/>
                <w:szCs w:val="20"/>
              </w:rPr>
              <w:t>Grade</w:t>
            </w:r>
          </w:p>
        </w:tc>
        <w:tc>
          <w:tcPr>
            <w:tcW w:w="2175" w:type="dxa"/>
            <w:tcMar>
              <w:top w:w="58" w:type="dxa"/>
              <w:left w:w="259" w:type="dxa"/>
              <w:bottom w:w="58" w:type="dxa"/>
              <w:right w:w="58" w:type="dxa"/>
            </w:tcMar>
            <w:vAlign w:val="center"/>
          </w:tcPr>
          <w:p w:rsidRPr="00DA2E7E" w:rsidR="00E25B8E" w:rsidP="0045008B" w:rsidRDefault="00E25B8E" w14:paraId="46B92F6B" w14:textId="5E3BF486">
            <w:pPr>
              <w:ind w:right="717"/>
              <w:jc w:val="right"/>
              <w:rPr>
                <w:b/>
                <w:sz w:val="20"/>
                <w:szCs w:val="20"/>
              </w:rPr>
            </w:pPr>
            <w:r w:rsidRPr="00DA2E7E">
              <w:rPr>
                <w:b/>
                <w:sz w:val="20"/>
                <w:szCs w:val="20"/>
              </w:rPr>
              <w:t>Salary</w:t>
            </w:r>
          </w:p>
        </w:tc>
        <w:tc>
          <w:tcPr>
            <w:tcW w:w="2175" w:type="dxa"/>
            <w:tcMar>
              <w:top w:w="58" w:type="dxa"/>
              <w:left w:w="259" w:type="dxa"/>
              <w:bottom w:w="58" w:type="dxa"/>
              <w:right w:w="58" w:type="dxa"/>
            </w:tcMar>
            <w:vAlign w:val="center"/>
          </w:tcPr>
          <w:p w:rsidRPr="00DA2E7E" w:rsidR="00E25B8E" w:rsidP="0045008B" w:rsidRDefault="00E25B8E" w14:paraId="495CF7CF" w14:textId="78152120">
            <w:pPr>
              <w:ind w:right="192"/>
              <w:jc w:val="center"/>
              <w:rPr>
                <w:b/>
                <w:sz w:val="20"/>
                <w:szCs w:val="20"/>
              </w:rPr>
            </w:pPr>
            <w:r w:rsidRPr="00DA2E7E">
              <w:rPr>
                <w:b/>
                <w:sz w:val="20"/>
                <w:szCs w:val="20"/>
              </w:rPr>
              <w:t>% of Time</w:t>
            </w:r>
          </w:p>
        </w:tc>
        <w:tc>
          <w:tcPr>
            <w:tcW w:w="2175" w:type="dxa"/>
            <w:tcMar>
              <w:top w:w="58" w:type="dxa"/>
              <w:left w:w="259" w:type="dxa"/>
              <w:bottom w:w="58" w:type="dxa"/>
              <w:right w:w="58" w:type="dxa"/>
            </w:tcMar>
            <w:vAlign w:val="center"/>
          </w:tcPr>
          <w:p w:rsidRPr="00DA2E7E" w:rsidR="00E25B8E" w:rsidP="0045008B" w:rsidRDefault="00E25B8E" w14:paraId="0E9B952C" w14:textId="1DD6B0F1">
            <w:pPr>
              <w:ind w:right="717"/>
              <w:jc w:val="right"/>
              <w:rPr>
                <w:b/>
                <w:sz w:val="20"/>
                <w:szCs w:val="20"/>
              </w:rPr>
            </w:pPr>
            <w:r w:rsidRPr="00DA2E7E">
              <w:rPr>
                <w:b/>
                <w:sz w:val="20"/>
                <w:szCs w:val="20"/>
              </w:rPr>
              <w:t>Total</w:t>
            </w:r>
          </w:p>
        </w:tc>
      </w:tr>
      <w:tr w:rsidRPr="00DA2E7E" w:rsidR="00E25B8E" w:rsidTr="0045008B" w14:paraId="038B659F" w14:textId="77777777">
        <w:tc>
          <w:tcPr>
            <w:tcW w:w="2825" w:type="dxa"/>
            <w:tcMar>
              <w:top w:w="58" w:type="dxa"/>
              <w:left w:w="58" w:type="dxa"/>
              <w:bottom w:w="58" w:type="dxa"/>
              <w:right w:w="58" w:type="dxa"/>
            </w:tcMar>
          </w:tcPr>
          <w:p w:rsidRPr="00DA2E7E" w:rsidR="00E25B8E" w:rsidP="0084019A" w:rsidRDefault="00E25B8E" w14:paraId="4E4EFDD5" w14:textId="2D62ADE2">
            <w:pPr>
              <w:rPr>
                <w:sz w:val="20"/>
                <w:szCs w:val="20"/>
              </w:rPr>
            </w:pPr>
            <w:r w:rsidRPr="00DA2E7E">
              <w:rPr>
                <w:sz w:val="20"/>
                <w:szCs w:val="20"/>
              </w:rPr>
              <w:t>GS 12, Step 3</w:t>
            </w:r>
          </w:p>
        </w:tc>
        <w:tc>
          <w:tcPr>
            <w:tcW w:w="2175" w:type="dxa"/>
            <w:tcMar>
              <w:top w:w="58" w:type="dxa"/>
              <w:left w:w="259" w:type="dxa"/>
              <w:bottom w:w="58" w:type="dxa"/>
              <w:right w:w="58" w:type="dxa"/>
            </w:tcMar>
            <w:vAlign w:val="center"/>
          </w:tcPr>
          <w:p w:rsidRPr="00DA2E7E" w:rsidR="00E25B8E" w:rsidP="0045008B" w:rsidRDefault="00E25B8E" w14:paraId="476CB09E" w14:textId="16EA692A">
            <w:pPr>
              <w:ind w:right="717"/>
              <w:jc w:val="right"/>
              <w:rPr>
                <w:sz w:val="20"/>
                <w:szCs w:val="20"/>
              </w:rPr>
            </w:pPr>
            <w:r w:rsidRPr="00DA2E7E">
              <w:rPr>
                <w:sz w:val="20"/>
                <w:szCs w:val="20"/>
              </w:rPr>
              <w:t>$86,984</w:t>
            </w:r>
          </w:p>
        </w:tc>
        <w:tc>
          <w:tcPr>
            <w:tcW w:w="2175" w:type="dxa"/>
            <w:tcMar>
              <w:top w:w="58" w:type="dxa"/>
              <w:left w:w="259" w:type="dxa"/>
              <w:bottom w:w="58" w:type="dxa"/>
              <w:right w:w="58" w:type="dxa"/>
            </w:tcMar>
            <w:vAlign w:val="center"/>
          </w:tcPr>
          <w:p w:rsidRPr="00DA2E7E" w:rsidR="00E25B8E" w:rsidP="0045008B" w:rsidRDefault="00E25B8E" w14:paraId="2FC07EE2" w14:textId="615617B6">
            <w:pPr>
              <w:ind w:right="192"/>
              <w:jc w:val="center"/>
              <w:rPr>
                <w:sz w:val="20"/>
                <w:szCs w:val="20"/>
              </w:rPr>
            </w:pPr>
            <w:r w:rsidRPr="00DA2E7E">
              <w:rPr>
                <w:sz w:val="20"/>
                <w:szCs w:val="20"/>
              </w:rPr>
              <w:t>5</w:t>
            </w:r>
          </w:p>
        </w:tc>
        <w:tc>
          <w:tcPr>
            <w:tcW w:w="2175" w:type="dxa"/>
            <w:tcMar>
              <w:top w:w="58" w:type="dxa"/>
              <w:left w:w="259" w:type="dxa"/>
              <w:bottom w:w="58" w:type="dxa"/>
              <w:right w:w="58" w:type="dxa"/>
            </w:tcMar>
            <w:vAlign w:val="center"/>
          </w:tcPr>
          <w:p w:rsidRPr="00DA2E7E" w:rsidR="00E25B8E" w:rsidP="0045008B" w:rsidRDefault="00E25B8E" w14:paraId="06D063A5" w14:textId="59B3DA95">
            <w:pPr>
              <w:ind w:right="717"/>
              <w:jc w:val="right"/>
              <w:rPr>
                <w:sz w:val="20"/>
                <w:szCs w:val="20"/>
              </w:rPr>
            </w:pPr>
            <w:r w:rsidRPr="00DA2E7E">
              <w:rPr>
                <w:sz w:val="20"/>
                <w:szCs w:val="20"/>
              </w:rPr>
              <w:t>$4,349.20</w:t>
            </w:r>
          </w:p>
        </w:tc>
      </w:tr>
      <w:tr w:rsidRPr="00DA2E7E" w:rsidR="00E25B8E" w:rsidTr="0045008B" w14:paraId="7544AE90" w14:textId="77777777">
        <w:tc>
          <w:tcPr>
            <w:tcW w:w="2825" w:type="dxa"/>
            <w:tcMar>
              <w:top w:w="58" w:type="dxa"/>
              <w:left w:w="58" w:type="dxa"/>
              <w:bottom w:w="58" w:type="dxa"/>
              <w:right w:w="58" w:type="dxa"/>
            </w:tcMar>
          </w:tcPr>
          <w:p w:rsidRPr="00DA2E7E" w:rsidR="00E25B8E" w:rsidP="0084019A" w:rsidRDefault="00E25B8E" w14:paraId="15C62C7A" w14:textId="7728F7F4">
            <w:pPr>
              <w:rPr>
                <w:sz w:val="20"/>
                <w:szCs w:val="20"/>
              </w:rPr>
            </w:pPr>
            <w:r w:rsidRPr="00DA2E7E">
              <w:rPr>
                <w:sz w:val="20"/>
                <w:szCs w:val="20"/>
              </w:rPr>
              <w:t>GS 13, Step 7</w:t>
            </w:r>
          </w:p>
        </w:tc>
        <w:tc>
          <w:tcPr>
            <w:tcW w:w="2175" w:type="dxa"/>
            <w:tcMar>
              <w:top w:w="58" w:type="dxa"/>
              <w:left w:w="259" w:type="dxa"/>
              <w:bottom w:w="58" w:type="dxa"/>
              <w:right w:w="58" w:type="dxa"/>
            </w:tcMar>
            <w:vAlign w:val="center"/>
          </w:tcPr>
          <w:p w:rsidRPr="00DA2E7E" w:rsidR="00E25B8E" w:rsidP="0045008B" w:rsidRDefault="00E25B8E" w14:paraId="6EA50222" w14:textId="29E48251">
            <w:pPr>
              <w:ind w:right="717"/>
              <w:jc w:val="right"/>
              <w:rPr>
                <w:sz w:val="20"/>
                <w:szCs w:val="20"/>
              </w:rPr>
            </w:pPr>
            <w:r w:rsidRPr="00DA2E7E">
              <w:rPr>
                <w:sz w:val="20"/>
                <w:szCs w:val="20"/>
              </w:rPr>
              <w:t>$115,684</w:t>
            </w:r>
          </w:p>
        </w:tc>
        <w:tc>
          <w:tcPr>
            <w:tcW w:w="2175" w:type="dxa"/>
            <w:tcMar>
              <w:top w:w="58" w:type="dxa"/>
              <w:left w:w="259" w:type="dxa"/>
              <w:bottom w:w="58" w:type="dxa"/>
              <w:right w:w="58" w:type="dxa"/>
            </w:tcMar>
            <w:vAlign w:val="center"/>
          </w:tcPr>
          <w:p w:rsidRPr="00DA2E7E" w:rsidR="00E25B8E" w:rsidP="0045008B" w:rsidRDefault="00E25B8E" w14:paraId="4B4FCCEF" w14:textId="0DC11B32">
            <w:pPr>
              <w:ind w:right="192"/>
              <w:jc w:val="center"/>
              <w:rPr>
                <w:sz w:val="20"/>
                <w:szCs w:val="20"/>
              </w:rPr>
            </w:pPr>
            <w:r w:rsidRPr="00DA2E7E">
              <w:rPr>
                <w:sz w:val="20"/>
                <w:szCs w:val="20"/>
              </w:rPr>
              <w:t>5</w:t>
            </w:r>
          </w:p>
        </w:tc>
        <w:tc>
          <w:tcPr>
            <w:tcW w:w="2175" w:type="dxa"/>
            <w:tcMar>
              <w:top w:w="58" w:type="dxa"/>
              <w:left w:w="259" w:type="dxa"/>
              <w:bottom w:w="58" w:type="dxa"/>
              <w:right w:w="58" w:type="dxa"/>
            </w:tcMar>
            <w:vAlign w:val="center"/>
          </w:tcPr>
          <w:p w:rsidRPr="00DA2E7E" w:rsidR="00E25B8E" w:rsidP="0045008B" w:rsidRDefault="00E25B8E" w14:paraId="4F75CCF5" w14:textId="4EF6AE8D">
            <w:pPr>
              <w:ind w:right="717"/>
              <w:jc w:val="right"/>
              <w:rPr>
                <w:sz w:val="20"/>
                <w:szCs w:val="20"/>
              </w:rPr>
            </w:pPr>
            <w:r w:rsidRPr="00DA2E7E">
              <w:rPr>
                <w:sz w:val="20"/>
                <w:szCs w:val="20"/>
              </w:rPr>
              <w:t>$5,784.20</w:t>
            </w:r>
          </w:p>
        </w:tc>
      </w:tr>
      <w:tr w:rsidRPr="00DA2E7E" w:rsidR="00E25B8E" w:rsidTr="0045008B" w14:paraId="6FA38023" w14:textId="77777777">
        <w:tc>
          <w:tcPr>
            <w:tcW w:w="2825" w:type="dxa"/>
            <w:tcMar>
              <w:top w:w="58" w:type="dxa"/>
              <w:left w:w="58" w:type="dxa"/>
              <w:bottom w:w="58" w:type="dxa"/>
              <w:right w:w="58" w:type="dxa"/>
            </w:tcMar>
          </w:tcPr>
          <w:p w:rsidRPr="00DA2E7E" w:rsidR="00E25B8E" w:rsidP="0084019A" w:rsidRDefault="00E25B8E" w14:paraId="48161675" w14:textId="000532A1">
            <w:pPr>
              <w:rPr>
                <w:b/>
                <w:sz w:val="20"/>
                <w:szCs w:val="20"/>
              </w:rPr>
            </w:pPr>
            <w:r w:rsidRPr="00DA2E7E">
              <w:rPr>
                <w:b/>
                <w:sz w:val="20"/>
                <w:szCs w:val="20"/>
              </w:rPr>
              <w:t>Total</w:t>
            </w:r>
          </w:p>
        </w:tc>
        <w:tc>
          <w:tcPr>
            <w:tcW w:w="2175" w:type="dxa"/>
            <w:tcMar>
              <w:top w:w="58" w:type="dxa"/>
              <w:left w:w="259" w:type="dxa"/>
              <w:bottom w:w="58" w:type="dxa"/>
              <w:right w:w="58" w:type="dxa"/>
            </w:tcMar>
            <w:vAlign w:val="center"/>
          </w:tcPr>
          <w:p w:rsidRPr="00DA2E7E" w:rsidR="00E25B8E" w:rsidP="0045008B" w:rsidRDefault="00E25B8E" w14:paraId="12685B7A" w14:textId="77777777">
            <w:pPr>
              <w:ind w:right="717"/>
              <w:jc w:val="right"/>
              <w:rPr>
                <w:sz w:val="20"/>
                <w:szCs w:val="20"/>
              </w:rPr>
            </w:pPr>
          </w:p>
        </w:tc>
        <w:tc>
          <w:tcPr>
            <w:tcW w:w="2175" w:type="dxa"/>
            <w:tcMar>
              <w:top w:w="58" w:type="dxa"/>
              <w:left w:w="259" w:type="dxa"/>
              <w:bottom w:w="58" w:type="dxa"/>
              <w:right w:w="58" w:type="dxa"/>
            </w:tcMar>
            <w:vAlign w:val="center"/>
          </w:tcPr>
          <w:p w:rsidRPr="00DA2E7E" w:rsidR="00E25B8E" w:rsidP="0045008B" w:rsidRDefault="00E25B8E" w14:paraId="488A0A0C" w14:textId="77777777">
            <w:pPr>
              <w:ind w:right="717"/>
              <w:jc w:val="right"/>
              <w:rPr>
                <w:sz w:val="20"/>
                <w:szCs w:val="20"/>
              </w:rPr>
            </w:pPr>
          </w:p>
        </w:tc>
        <w:tc>
          <w:tcPr>
            <w:tcW w:w="2175" w:type="dxa"/>
            <w:tcMar>
              <w:top w:w="58" w:type="dxa"/>
              <w:left w:w="259" w:type="dxa"/>
              <w:bottom w:w="58" w:type="dxa"/>
              <w:right w:w="58" w:type="dxa"/>
            </w:tcMar>
            <w:vAlign w:val="center"/>
          </w:tcPr>
          <w:p w:rsidRPr="00DA2E7E" w:rsidR="00E25B8E" w:rsidP="0045008B" w:rsidRDefault="00E25B8E" w14:paraId="72B04712" w14:textId="2DFE4A43">
            <w:pPr>
              <w:ind w:right="717"/>
              <w:jc w:val="right"/>
              <w:rPr>
                <w:b/>
                <w:sz w:val="20"/>
                <w:szCs w:val="20"/>
              </w:rPr>
            </w:pPr>
            <w:r w:rsidRPr="00DA2E7E">
              <w:rPr>
                <w:b/>
                <w:sz w:val="20"/>
                <w:szCs w:val="20"/>
              </w:rPr>
              <w:t>$10,133.40</w:t>
            </w:r>
          </w:p>
        </w:tc>
      </w:tr>
    </w:tbl>
    <w:p w:rsidRPr="00412C6F" w:rsidR="009B633D" w:rsidP="00A21201" w:rsidRDefault="009B633D" w14:paraId="53FFB940" w14:textId="77777777">
      <w:pPr>
        <w:pStyle w:val="Heading2"/>
      </w:pPr>
      <w:bookmarkStart w:name="_Toc151782190" w:id="61"/>
      <w:bookmarkStart w:name="_Toc158526230" w:id="62"/>
      <w:bookmarkStart w:name="_Toc82433703" w:id="63"/>
      <w:r w:rsidRPr="00412C6F">
        <w:t>15. Changes in Hour Burden</w:t>
      </w:r>
      <w:bookmarkEnd w:id="61"/>
      <w:bookmarkEnd w:id="62"/>
      <w:bookmarkEnd w:id="63"/>
    </w:p>
    <w:p w:rsidRPr="004B7B91" w:rsidR="00B52533" w:rsidP="002D4D3A" w:rsidRDefault="004B7B91" w14:paraId="1472A50B" w14:textId="77777777">
      <w:pPr>
        <w:pStyle w:val="BodyText"/>
      </w:pPr>
      <w:bookmarkStart w:name="_Toc151782191" w:id="64"/>
      <w:bookmarkStart w:name="_Toc158526231" w:id="65"/>
      <w:r w:rsidRPr="00BD52A9">
        <w:t>This is a new collection of information.</w:t>
      </w:r>
      <w:r w:rsidRPr="004B7B91" w:rsidR="00673643">
        <w:t xml:space="preserve"> </w:t>
      </w:r>
    </w:p>
    <w:p w:rsidRPr="00412C6F" w:rsidR="009B633D" w:rsidP="00A21201" w:rsidRDefault="009B633D" w14:paraId="0D3253D7" w14:textId="77777777">
      <w:pPr>
        <w:pStyle w:val="Heading2"/>
      </w:pPr>
      <w:bookmarkStart w:name="_Toc82433704" w:id="66"/>
      <w:r w:rsidRPr="00412C6F">
        <w:t>16. Time Schedule, Publication and Analysis Plans</w:t>
      </w:r>
      <w:bookmarkEnd w:id="64"/>
      <w:bookmarkEnd w:id="65"/>
      <w:bookmarkEnd w:id="66"/>
    </w:p>
    <w:p w:rsidR="007B2403" w:rsidP="002D4D3A" w:rsidRDefault="00A6458C" w14:paraId="0604503F" w14:textId="60B351D8">
      <w:pPr>
        <w:pStyle w:val="BodyText"/>
      </w:pPr>
      <w:bookmarkStart w:name="_Toc151782192" w:id="67"/>
      <w:r>
        <w:t xml:space="preserve">Data collection is planned to begin </w:t>
      </w:r>
      <w:r w:rsidR="00513808">
        <w:t>following OMB clearance</w:t>
      </w:r>
      <w:r w:rsidR="007F3D69">
        <w:t xml:space="preserve"> </w:t>
      </w:r>
      <w:r w:rsidR="00F37C26">
        <w:t xml:space="preserve">of the individual collection requests </w:t>
      </w:r>
      <w:r w:rsidR="007F3D69">
        <w:t xml:space="preserve">and last for </w:t>
      </w:r>
      <w:r w:rsidR="00F37C26">
        <w:t xml:space="preserve">approximately </w:t>
      </w:r>
      <w:r w:rsidR="007F3D69">
        <w:t>5 months</w:t>
      </w:r>
      <w:r w:rsidR="00513808">
        <w:t xml:space="preserve">. </w:t>
      </w:r>
      <w:r w:rsidR="007B2403">
        <w:t>Analyses will include:</w:t>
      </w:r>
    </w:p>
    <w:p w:rsidR="0027118E" w:rsidP="00A21201" w:rsidRDefault="007B2403" w14:paraId="68206A25" w14:textId="77777777">
      <w:pPr>
        <w:pStyle w:val="BulletLevel1"/>
        <w:numPr>
          <w:ilvl w:val="0"/>
          <w:numId w:val="12"/>
        </w:numPr>
      </w:pPr>
      <w:r w:rsidRPr="007B2403">
        <w:t>Descriptive analysis of the distribution of composite measures, global rating items, and other individual items on the survey</w:t>
      </w:r>
      <w:r w:rsidR="001B27FB">
        <w:t>.</w:t>
      </w:r>
    </w:p>
    <w:p w:rsidRPr="007B2403" w:rsidR="007B2403" w:rsidP="00A21201" w:rsidRDefault="007B2403" w14:paraId="06CE556C" w14:textId="5E0F7DED">
      <w:pPr>
        <w:pStyle w:val="BulletLevel1"/>
        <w:numPr>
          <w:ilvl w:val="0"/>
          <w:numId w:val="12"/>
        </w:numPr>
      </w:pPr>
      <w:r>
        <w:t>A</w:t>
      </w:r>
      <w:r w:rsidRPr="007B2403">
        <w:t>nalys</w:t>
      </w:r>
      <w:r w:rsidR="00107250">
        <w:t>e</w:t>
      </w:r>
      <w:r w:rsidRPr="007B2403">
        <w:t xml:space="preserve">s stratifying on </w:t>
      </w:r>
      <w:r w:rsidR="00107250">
        <w:t xml:space="preserve">demographic characteristics, such as </w:t>
      </w:r>
      <w:r w:rsidR="000B1480">
        <w:t>gender,</w:t>
      </w:r>
      <w:r w:rsidR="0076470D">
        <w:t xml:space="preserve"> rural or urban location, SMI or SUD status,</w:t>
      </w:r>
      <w:r w:rsidR="000B1480">
        <w:t xml:space="preserve"> </w:t>
      </w:r>
      <w:r w:rsidRPr="007B2403">
        <w:t>race</w:t>
      </w:r>
      <w:r w:rsidR="005B198A">
        <w:t xml:space="preserve">, </w:t>
      </w:r>
      <w:r w:rsidRPr="007B2403">
        <w:t>ethnicity</w:t>
      </w:r>
      <w:r w:rsidR="005B198A">
        <w:t>, limited English proficiency,</w:t>
      </w:r>
      <w:r w:rsidRPr="007B2403">
        <w:t xml:space="preserve"> and disability status</w:t>
      </w:r>
      <w:r>
        <w:t>.</w:t>
      </w:r>
      <w:r w:rsidR="00107250">
        <w:t xml:space="preserve"> These </w:t>
      </w:r>
      <w:r w:rsidR="00107250">
        <w:lastRenderedPageBreak/>
        <w:t>analyses will vary based on the target minority population</w:t>
      </w:r>
      <w:r w:rsidR="0027118E">
        <w:t xml:space="preserve"> and sub-groups included in the sample</w:t>
      </w:r>
      <w:r w:rsidR="00107250">
        <w:t>.</w:t>
      </w:r>
    </w:p>
    <w:p w:rsidR="007B2403" w:rsidP="00A21201" w:rsidRDefault="007B2403" w14:paraId="34AFB46D" w14:textId="70882B08">
      <w:pPr>
        <w:pStyle w:val="BulletLevel1"/>
        <w:numPr>
          <w:ilvl w:val="0"/>
          <w:numId w:val="12"/>
        </w:numPr>
      </w:pPr>
      <w:r w:rsidRPr="007B2403">
        <w:t xml:space="preserve">Comparison between </w:t>
      </w:r>
      <w:r w:rsidR="00107250">
        <w:t xml:space="preserve">minority populations </w:t>
      </w:r>
      <w:r>
        <w:t>(from</w:t>
      </w:r>
      <w:r w:rsidR="006A710C">
        <w:t xml:space="preserve"> </w:t>
      </w:r>
      <w:r>
        <w:t>MBECS)</w:t>
      </w:r>
      <w:r w:rsidRPr="007B2403">
        <w:t xml:space="preserve"> and </w:t>
      </w:r>
      <w:r w:rsidR="0027118E">
        <w:t>general-population</w:t>
      </w:r>
      <w:r w:rsidRPr="007B2403" w:rsidR="00107250">
        <w:t xml:space="preserve"> </w:t>
      </w:r>
      <w:r w:rsidR="0027118E">
        <w:t>beneficiary benchmarks</w:t>
      </w:r>
      <w:r>
        <w:t xml:space="preserve"> (from FFS, MA, and NAM CAHPS</w:t>
      </w:r>
      <w:r w:rsidR="00107250">
        <w:t>, or from other source surveys for population-specific measures</w:t>
      </w:r>
      <w:r>
        <w:t>)</w:t>
      </w:r>
      <w:r w:rsidRPr="007B2403">
        <w:t xml:space="preserve"> on patient experience measures. </w:t>
      </w:r>
    </w:p>
    <w:p w:rsidRPr="00A6458C" w:rsidR="00A6458C" w:rsidP="002D4D3A" w:rsidRDefault="00A6458C" w14:paraId="5EC72576" w14:textId="384DAFF2">
      <w:pPr>
        <w:pStyle w:val="BodyText"/>
      </w:pPr>
      <w:r w:rsidRPr="00BD00CB">
        <w:t>CMS OMH will</w:t>
      </w:r>
      <w:r w:rsidRPr="00BD00CB" w:rsidR="007B2403">
        <w:t xml:space="preserve"> </w:t>
      </w:r>
      <w:r w:rsidR="0027118E">
        <w:t xml:space="preserve">1) produce </w:t>
      </w:r>
      <w:r w:rsidRPr="00BD00CB" w:rsidR="007F3D69">
        <w:t xml:space="preserve">a methodology report </w:t>
      </w:r>
      <w:r w:rsidRPr="00BD00CB" w:rsidR="007B2403">
        <w:t xml:space="preserve">within three months of the end of </w:t>
      </w:r>
      <w:r w:rsidR="00A976BC">
        <w:t xml:space="preserve">any </w:t>
      </w:r>
      <w:r w:rsidRPr="00BD00CB" w:rsidR="007B2403">
        <w:t>data collection</w:t>
      </w:r>
      <w:r w:rsidR="0027118E">
        <w:t xml:space="preserve">; 2) </w:t>
      </w:r>
      <w:r w:rsidRPr="00BD00CB" w:rsidR="007B2403">
        <w:t>plan</w:t>
      </w:r>
      <w:r w:rsidR="000B1480">
        <w:t>s</w:t>
      </w:r>
      <w:r w:rsidRPr="00BD00CB">
        <w:t xml:space="preserve"> </w:t>
      </w:r>
      <w:r w:rsidR="000B1480">
        <w:t xml:space="preserve">to </w:t>
      </w:r>
      <w:r w:rsidRPr="00BD00CB">
        <w:t>write up</w:t>
      </w:r>
      <w:r w:rsidRPr="00BD00CB" w:rsidR="007B2403">
        <w:t xml:space="preserve"> findings for publication </w:t>
      </w:r>
      <w:r w:rsidR="005B198A">
        <w:t>on the CMS OMH website and in peer-reviewed journals</w:t>
      </w:r>
      <w:r w:rsidR="0033641B">
        <w:t xml:space="preserve"> (e.g., Medical Care, Medical Care Research and Review)</w:t>
      </w:r>
      <w:r w:rsidR="000B1480">
        <w:t>; and 3)</w:t>
      </w:r>
      <w:r w:rsidR="005B198A">
        <w:t xml:space="preserve"> </w:t>
      </w:r>
      <w:r w:rsidRPr="0027118E" w:rsidR="00BC31FE">
        <w:t>plans to develop a restricted use data set for use by resea</w:t>
      </w:r>
      <w:r w:rsidR="000B1480">
        <w:t>r</w:t>
      </w:r>
      <w:r w:rsidRPr="0027118E" w:rsidR="00BC31FE">
        <w:t>chers.</w:t>
      </w:r>
    </w:p>
    <w:p w:rsidRPr="00BD157B" w:rsidR="009B633D" w:rsidP="00A21201" w:rsidRDefault="009B633D" w14:paraId="4282F39C" w14:textId="77777777">
      <w:pPr>
        <w:pStyle w:val="Heading2"/>
      </w:pPr>
      <w:bookmarkStart w:name="_Toc151782196" w:id="68"/>
      <w:bookmarkStart w:name="_Toc158526232" w:id="69"/>
      <w:bookmarkStart w:name="_Toc82433705" w:id="70"/>
      <w:bookmarkEnd w:id="67"/>
      <w:r w:rsidRPr="00BD157B">
        <w:t>17. Exemption for Display of Expiration Date</w:t>
      </w:r>
      <w:bookmarkEnd w:id="68"/>
      <w:bookmarkEnd w:id="69"/>
      <w:bookmarkEnd w:id="70"/>
    </w:p>
    <w:p w:rsidR="00226A3F" w:rsidP="002D4D3A" w:rsidRDefault="00A452F4" w14:paraId="556CB9DE" w14:textId="77777777">
      <w:pPr>
        <w:pStyle w:val="BodyText"/>
      </w:pPr>
      <w:r>
        <w:t>CMS OMH</w:t>
      </w:r>
      <w:r w:rsidRPr="004F03D2" w:rsidR="009B633D">
        <w:t xml:space="preserve"> does not seek this exemption</w:t>
      </w:r>
      <w:r w:rsidR="009B633D">
        <w:t>.</w:t>
      </w:r>
    </w:p>
    <w:p w:rsidR="009B633D" w:rsidP="002D4D3A" w:rsidRDefault="00226A3F" w14:paraId="34C86E55" w14:textId="73092308">
      <w:pPr>
        <w:pStyle w:val="BodyText"/>
      </w:pPr>
      <w:r>
        <w:t xml:space="preserve">The OMB expiration date is displayed on </w:t>
      </w:r>
      <w:r w:rsidR="00600E78">
        <w:t>all</w:t>
      </w:r>
      <w:r>
        <w:t xml:space="preserve"> hardcopy respondent materials, including</w:t>
      </w:r>
      <w:r>
        <w:rPr>
          <w:spacing w:val="-19"/>
        </w:rPr>
        <w:t xml:space="preserve"> </w:t>
      </w:r>
      <w:r>
        <w:t>the Web invitation letter</w:t>
      </w:r>
      <w:r w:rsidR="00600E78">
        <w:t>,</w:t>
      </w:r>
      <w:r>
        <w:t xml:space="preserve"> </w:t>
      </w:r>
      <w:r w:rsidR="003C73C4">
        <w:t xml:space="preserve">cover </w:t>
      </w:r>
      <w:r w:rsidR="00600E78">
        <w:t>letters accompanying the self-administered questionnaire, thank you letters</w:t>
      </w:r>
      <w:r w:rsidR="00B57D7A">
        <w:t xml:space="preserve"> (delivered with the incentive after the questionnaire is completed)</w:t>
      </w:r>
      <w:r w:rsidR="00600E78">
        <w:t xml:space="preserve">, and the </w:t>
      </w:r>
      <w:r w:rsidR="003C73C4">
        <w:t xml:space="preserve">hardcopy </w:t>
      </w:r>
      <w:r>
        <w:t>self-administered questionnaire. It will also be displayed on</w:t>
      </w:r>
      <w:r>
        <w:rPr>
          <w:spacing w:val="-24"/>
        </w:rPr>
        <w:t xml:space="preserve"> </w:t>
      </w:r>
      <w:r w:rsidR="00EF6F28">
        <w:t>each screen of the</w:t>
      </w:r>
      <w:r>
        <w:t xml:space="preserve"> MBECS </w:t>
      </w:r>
      <w:r w:rsidR="006D5A9E">
        <w:t>web survey</w:t>
      </w:r>
      <w:r>
        <w:t xml:space="preserve">. </w:t>
      </w:r>
    </w:p>
    <w:p w:rsidR="00BD157B" w:rsidP="00A21201" w:rsidRDefault="00BD157B" w14:paraId="55464922" w14:textId="76C4F218">
      <w:pPr>
        <w:pStyle w:val="Heading2"/>
      </w:pPr>
      <w:bookmarkStart w:name="_Toc82433706" w:id="71"/>
      <w:r w:rsidRPr="001C1B52">
        <w:t>18.</w:t>
      </w:r>
      <w:r>
        <w:t xml:space="preserve"> </w:t>
      </w:r>
      <w:r w:rsidRPr="001C1B52">
        <w:t>Exceptions to Certification for Paperwork Reduction Act Submissions</w:t>
      </w:r>
      <w:bookmarkEnd w:id="71"/>
      <w:r w:rsidRPr="001C1B52">
        <w:t xml:space="preserve"> </w:t>
      </w:r>
    </w:p>
    <w:p w:rsidR="00BD157B" w:rsidP="002D4D3A" w:rsidRDefault="00BD157B" w14:paraId="368375BC" w14:textId="6EA79A7E">
      <w:pPr>
        <w:pStyle w:val="BodyText"/>
      </w:pPr>
      <w:r w:rsidRPr="00BD157B">
        <w:t>CMS OMH</w:t>
      </w:r>
      <w:r>
        <w:t xml:space="preserve"> does not seek this exc</w:t>
      </w:r>
      <w:r w:rsidRPr="00BD157B">
        <w:t>eption.</w:t>
      </w:r>
    </w:p>
    <w:p w:rsidR="002D4D3A" w:rsidRDefault="002D4D3A" w14:paraId="19EEE741" w14:textId="6478297A">
      <w:r>
        <w:br w:type="page"/>
      </w:r>
    </w:p>
    <w:p w:rsidRPr="00016560" w:rsidR="002D4D3A" w:rsidP="00A21201" w:rsidRDefault="002D4D3A" w14:paraId="37DA83F7" w14:textId="77777777">
      <w:pPr>
        <w:pStyle w:val="Heading2"/>
      </w:pPr>
      <w:bookmarkStart w:name="_Toc82433707" w:id="72"/>
      <w:r>
        <w:lastRenderedPageBreak/>
        <w:t xml:space="preserve">List of </w:t>
      </w:r>
      <w:r w:rsidRPr="00016560">
        <w:t>Attachments:</w:t>
      </w:r>
      <w:bookmarkEnd w:id="72"/>
    </w:p>
    <w:p w:rsidR="002D4D3A" w:rsidP="002D4D3A" w:rsidRDefault="002D4D3A" w14:paraId="55056356" w14:textId="77777777">
      <w:pPr>
        <w:pStyle w:val="BodyText"/>
      </w:pPr>
      <w:r>
        <w:t>Attachment A – MBECS Core Questionnaire</w:t>
      </w:r>
    </w:p>
    <w:p w:rsidRPr="00535B56" w:rsidR="001B27FB" w:rsidP="002D4D3A" w:rsidRDefault="002D4D3A" w14:paraId="5982EAD6" w14:textId="05B5C155">
      <w:pPr>
        <w:pStyle w:val="Heading2"/>
      </w:pPr>
      <w:bookmarkStart w:name="_Toc82433708" w:id="73"/>
      <w:r>
        <w:t>References</w:t>
      </w:r>
      <w:bookmarkEnd w:id="73"/>
    </w:p>
    <w:sectPr w:rsidRPr="00535B56" w:rsidR="001B27FB" w:rsidSect="004A0E82">
      <w:footerReference w:type="even" r:id="rId9"/>
      <w:footerReference w:type="default" r:id="rId10"/>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CD39" w14:textId="77777777" w:rsidR="00466C1D" w:rsidRDefault="00466C1D">
      <w:r>
        <w:separator/>
      </w:r>
    </w:p>
  </w:endnote>
  <w:endnote w:type="continuationSeparator" w:id="0">
    <w:p w14:paraId="65FEFFB1" w14:textId="77777777" w:rsidR="00466C1D" w:rsidRDefault="00466C1D">
      <w:r>
        <w:continuationSeparator/>
      </w:r>
    </w:p>
  </w:endnote>
  <w:endnote w:type="continuationNotice" w:id="1">
    <w:p w14:paraId="6924CD3B" w14:textId="77777777" w:rsidR="00466C1D" w:rsidRDefault="00466C1D"/>
  </w:endnote>
  <w:endnote w:id="2">
    <w:p w14:paraId="7D3A27D6" w14:textId="1B851630" w:rsidR="001833B5" w:rsidRPr="002438F4" w:rsidRDefault="001833B5" w:rsidP="002438F4">
      <w:pPr>
        <w:pStyle w:val="EndnoteText"/>
      </w:pPr>
      <w:r>
        <w:rPr>
          <w:rStyle w:val="EndnoteReference"/>
        </w:rPr>
        <w:endnoteRef/>
      </w:r>
      <w:r>
        <w:t xml:space="preserve"> </w:t>
      </w:r>
      <w:r>
        <w:rPr>
          <w:sz w:val="22"/>
        </w:rPr>
        <w:t>See non</w:t>
      </w:r>
      <w:r w:rsidRPr="0080661C">
        <w:rPr>
          <w:sz w:val="22"/>
        </w:rPr>
        <w:t xml:space="preserve">response reporting from the National Survey on Drug Use and Health (NSDUH) at </w:t>
      </w:r>
      <w:hyperlink r:id="rId1" w:history="1">
        <w:r w:rsidRPr="0080661C">
          <w:rPr>
            <w:rStyle w:val="Hyperlink"/>
            <w:sz w:val="22"/>
          </w:rPr>
          <w:t>https://www.nimh.nih.gov/health/statistics/prevalence/serious-mental-illness-smi-among-us-adults.shtml</w:t>
        </w:r>
      </w:hyperlink>
    </w:p>
    <w:p w14:paraId="67C8BE07" w14:textId="73E4299D" w:rsidR="001833B5" w:rsidRDefault="001833B5">
      <w:pPr>
        <w:pStyle w:val="EndnoteText"/>
      </w:pPr>
    </w:p>
  </w:endnote>
  <w:endnote w:id="3">
    <w:p w14:paraId="4D1E9573" w14:textId="34D06587" w:rsidR="001833B5" w:rsidRDefault="001833B5">
      <w:pPr>
        <w:pStyle w:val="EndnoteText"/>
      </w:pPr>
      <w:r>
        <w:rPr>
          <w:rStyle w:val="EndnoteReference"/>
        </w:rPr>
        <w:endnoteRef/>
      </w:r>
      <w:r>
        <w:t xml:space="preserve"> </w:t>
      </w:r>
      <w:r w:rsidRPr="0080661C">
        <w:rPr>
          <w:sz w:val="22"/>
        </w:rPr>
        <w:t>Bjertness, E., Sagatun, Å., Green, K., Lien, L., Søgaard, A. J., &amp; Selmer, R. (2010). Response rates and selection problems, with emphasis on mental health variables and DNA sampling, in large population-based, cross-sectional and longitudinal studies of adolescents in Norway. </w:t>
      </w:r>
      <w:r w:rsidRPr="0080661C">
        <w:rPr>
          <w:i/>
          <w:iCs/>
          <w:sz w:val="22"/>
        </w:rPr>
        <w:t>BMC Public Health</w:t>
      </w:r>
      <w:r w:rsidRPr="0080661C">
        <w:rPr>
          <w:sz w:val="22"/>
        </w:rPr>
        <w:t>, </w:t>
      </w:r>
      <w:r w:rsidRPr="0080661C">
        <w:rPr>
          <w:i/>
          <w:iCs/>
          <w:sz w:val="22"/>
        </w:rPr>
        <w:t>10</w:t>
      </w:r>
      <w:r w:rsidRPr="0080661C">
        <w:rPr>
          <w:sz w:val="22"/>
        </w:rPr>
        <w:t xml:space="preserve">, 602. </w:t>
      </w:r>
      <w:hyperlink r:id="rId2" w:history="1">
        <w:r w:rsidRPr="0080661C">
          <w:rPr>
            <w:rStyle w:val="Hyperlink"/>
            <w:sz w:val="22"/>
          </w:rPr>
          <w:t>http://doi.org/10.1186/1471-2458-10-602</w:t>
        </w:r>
      </w:hyperlink>
    </w:p>
    <w:p w14:paraId="68758628" w14:textId="77777777" w:rsidR="001833B5" w:rsidRDefault="001833B5">
      <w:pPr>
        <w:pStyle w:val="EndnoteText"/>
      </w:pPr>
    </w:p>
  </w:endnote>
  <w:endnote w:id="4">
    <w:p w14:paraId="2F0B7279" w14:textId="115A6109" w:rsidR="001833B5" w:rsidRDefault="001833B5">
      <w:pPr>
        <w:pStyle w:val="EndnoteText"/>
        <w:rPr>
          <w:sz w:val="24"/>
          <w:szCs w:val="24"/>
        </w:rPr>
      </w:pPr>
      <w:r>
        <w:rPr>
          <w:rStyle w:val="EndnoteReference"/>
        </w:rPr>
        <w:endnoteRef/>
      </w:r>
      <w:r>
        <w:t xml:space="preserve"> </w:t>
      </w:r>
      <w:r w:rsidRPr="00C541AB">
        <w:rPr>
          <w:sz w:val="22"/>
          <w:szCs w:val="22"/>
        </w:rPr>
        <w:t>Zaslavsky, A., Zaborski, L., &amp; Cleary, P. (2002). Factors Affecting Response Rates to the Consumer Assessment of Health Plans Study Survey. </w:t>
      </w:r>
      <w:r w:rsidRPr="00C541AB">
        <w:rPr>
          <w:i/>
          <w:iCs/>
          <w:sz w:val="22"/>
          <w:szCs w:val="22"/>
        </w:rPr>
        <w:t>Medical Care,</w:t>
      </w:r>
      <w:r w:rsidRPr="00C541AB">
        <w:rPr>
          <w:sz w:val="22"/>
          <w:szCs w:val="22"/>
        </w:rPr>
        <w:t> </w:t>
      </w:r>
      <w:r w:rsidRPr="00C541AB">
        <w:rPr>
          <w:i/>
          <w:iCs/>
          <w:sz w:val="22"/>
          <w:szCs w:val="22"/>
        </w:rPr>
        <w:t>40</w:t>
      </w:r>
      <w:r w:rsidRPr="00C541AB">
        <w:rPr>
          <w:sz w:val="22"/>
          <w:szCs w:val="22"/>
        </w:rPr>
        <w:t xml:space="preserve">(6), 485-499. Retrieved from </w:t>
      </w:r>
      <w:hyperlink r:id="rId3" w:history="1">
        <w:r w:rsidRPr="00C541AB">
          <w:rPr>
            <w:color w:val="0000FF"/>
            <w:sz w:val="22"/>
            <w:szCs w:val="22"/>
            <w:u w:val="single"/>
          </w:rPr>
          <w:t>http://www.jstor.org/stable/3768129</w:t>
        </w:r>
      </w:hyperlink>
    </w:p>
    <w:p w14:paraId="53494FE3" w14:textId="77777777" w:rsidR="001833B5" w:rsidRDefault="001833B5">
      <w:pPr>
        <w:pStyle w:val="EndnoteText"/>
      </w:pPr>
    </w:p>
  </w:endnote>
  <w:endnote w:id="5">
    <w:p w14:paraId="3ABA58E4" w14:textId="2FD7F052" w:rsidR="001833B5" w:rsidRDefault="001833B5">
      <w:pPr>
        <w:pStyle w:val="EndnoteText"/>
      </w:pPr>
      <w:r>
        <w:rPr>
          <w:rStyle w:val="EndnoteReference"/>
        </w:rPr>
        <w:endnoteRef/>
      </w:r>
      <w:r>
        <w:t xml:space="preserve"> </w:t>
      </w:r>
      <w:r w:rsidRPr="0015218E">
        <w:rPr>
          <w:sz w:val="22"/>
        </w:rPr>
        <w:t>Tan, J., Li, N., Cui, B., Wang, L., Zhao, Y., Zhang, B., &amp; ... Zhang, Y. (2016). Characteristics of participants’ a</w:t>
      </w:r>
      <w:r>
        <w:rPr>
          <w:sz w:val="22"/>
        </w:rPr>
        <w:t>nd caregivers’ influence on non</w:t>
      </w:r>
      <w:r w:rsidRPr="0015218E">
        <w:rPr>
          <w:sz w:val="22"/>
        </w:rPr>
        <w:t>response in a cross-sectional study of dementia in an older population. </w:t>
      </w:r>
      <w:r w:rsidRPr="0015218E">
        <w:rPr>
          <w:i/>
          <w:iCs/>
          <w:sz w:val="22"/>
        </w:rPr>
        <w:t>Archives Of Gerontology And Geriatrics</w:t>
      </w:r>
      <w:r w:rsidRPr="0015218E">
        <w:rPr>
          <w:sz w:val="22"/>
        </w:rPr>
        <w:t>, </w:t>
      </w:r>
      <w:r w:rsidRPr="0015218E">
        <w:rPr>
          <w:i/>
          <w:iCs/>
          <w:sz w:val="22"/>
        </w:rPr>
        <w:t>62</w:t>
      </w:r>
      <w:r w:rsidRPr="0015218E">
        <w:rPr>
          <w:sz w:val="22"/>
        </w:rPr>
        <w:t>143-151. doi:10.1016/j.archger.2015.08.018</w:t>
      </w:r>
    </w:p>
    <w:p w14:paraId="717BFED6" w14:textId="77777777" w:rsidR="001833B5" w:rsidRDefault="001833B5">
      <w:pPr>
        <w:pStyle w:val="EndnoteText"/>
      </w:pPr>
    </w:p>
  </w:endnote>
  <w:endnote w:id="6">
    <w:p w14:paraId="37CCC653" w14:textId="5A8C85BB" w:rsidR="001833B5" w:rsidRDefault="001833B5">
      <w:pPr>
        <w:pStyle w:val="EndnoteText"/>
      </w:pPr>
      <w:r>
        <w:rPr>
          <w:rStyle w:val="EndnoteReference"/>
        </w:rPr>
        <w:endnoteRef/>
      </w:r>
      <w:r>
        <w:t xml:space="preserve"> </w:t>
      </w:r>
      <w:r w:rsidRPr="0015218E">
        <w:rPr>
          <w:sz w:val="22"/>
        </w:rPr>
        <w:t>Binkley, T., Beare, T., Minett, M., Koepp, K., Wey, H., &amp; Specker, B. (2017). Response to an Online Version of a PRAMS-like Survey in South Dakota. </w:t>
      </w:r>
      <w:r w:rsidRPr="0015218E">
        <w:rPr>
          <w:i/>
          <w:iCs/>
          <w:sz w:val="22"/>
        </w:rPr>
        <w:t>Maternal &amp; Child Health Journal</w:t>
      </w:r>
      <w:r w:rsidRPr="0015218E">
        <w:rPr>
          <w:sz w:val="22"/>
        </w:rPr>
        <w:t>, </w:t>
      </w:r>
      <w:r w:rsidRPr="0015218E">
        <w:rPr>
          <w:i/>
          <w:iCs/>
          <w:sz w:val="22"/>
        </w:rPr>
        <w:t>21</w:t>
      </w:r>
      <w:r w:rsidRPr="0015218E">
        <w:rPr>
          <w:sz w:val="22"/>
        </w:rPr>
        <w:t>(2), 335-342. doi:10.1007/s10995-016-2118-6</w:t>
      </w:r>
    </w:p>
    <w:p w14:paraId="5056E6E3" w14:textId="77777777" w:rsidR="001833B5" w:rsidRDefault="001833B5">
      <w:pPr>
        <w:pStyle w:val="EndnoteText"/>
      </w:pPr>
    </w:p>
  </w:endnote>
  <w:endnote w:id="7">
    <w:p w14:paraId="169BEA16" w14:textId="59DF1A8F" w:rsidR="001833B5" w:rsidRPr="0015218E" w:rsidRDefault="001833B5">
      <w:pPr>
        <w:pStyle w:val="EndnoteText"/>
        <w:rPr>
          <w:sz w:val="22"/>
        </w:rPr>
      </w:pPr>
      <w:r>
        <w:rPr>
          <w:rStyle w:val="EndnoteReference"/>
        </w:rPr>
        <w:endnoteRef/>
      </w:r>
      <w:r>
        <w:t xml:space="preserve"> </w:t>
      </w:r>
      <w:r w:rsidRPr="0015218E">
        <w:rPr>
          <w:sz w:val="22"/>
        </w:rPr>
        <w:t xml:space="preserve">Care Quality Commission. (January 2016). NHS Patient Surveys: Response rates for the community mental health survey. Retrieved from </w:t>
      </w:r>
      <w:hyperlink r:id="rId4" w:history="1">
        <w:r w:rsidRPr="0015218E">
          <w:rPr>
            <w:rStyle w:val="Hyperlink"/>
            <w:sz w:val="22"/>
          </w:rPr>
          <w:t>http://www.nhssurveys.org/Filestore/Community_mental_health_response_rates.pdf</w:t>
        </w:r>
      </w:hyperlink>
    </w:p>
    <w:p w14:paraId="5F0ACB3F" w14:textId="77777777" w:rsidR="001833B5" w:rsidRDefault="001833B5">
      <w:pPr>
        <w:pStyle w:val="EndnoteText"/>
      </w:pPr>
    </w:p>
  </w:endnote>
  <w:endnote w:id="8">
    <w:p w14:paraId="2994FD41" w14:textId="73430F29" w:rsidR="001833B5" w:rsidRDefault="001833B5">
      <w:pPr>
        <w:pStyle w:val="EndnoteText"/>
        <w:rPr>
          <w:sz w:val="22"/>
        </w:rPr>
      </w:pPr>
      <w:r>
        <w:rPr>
          <w:rStyle w:val="EndnoteReference"/>
        </w:rPr>
        <w:endnoteRef/>
      </w:r>
      <w:r w:rsidRPr="001B72E6">
        <w:rPr>
          <w:lang w:val="es-MX"/>
        </w:rPr>
        <w:t xml:space="preserve"> </w:t>
      </w:r>
      <w:r w:rsidRPr="001B72E6">
        <w:rPr>
          <w:sz w:val="22"/>
          <w:lang w:val="es-MX"/>
        </w:rPr>
        <w:t xml:space="preserve">Jae, K., &amp; Iulia Balbach, T. (2007). </w:t>
      </w:r>
      <w:r w:rsidRPr="0015218E">
        <w:rPr>
          <w:sz w:val="22"/>
        </w:rPr>
        <w:t>Working age medicare beneficiaries with disabilities: population characteristics and policy considerations. </w:t>
      </w:r>
      <w:r w:rsidRPr="0015218E">
        <w:rPr>
          <w:i/>
          <w:iCs/>
          <w:sz w:val="22"/>
        </w:rPr>
        <w:t>Journal Of Health And Human Services Administration</w:t>
      </w:r>
      <w:r w:rsidRPr="0015218E">
        <w:rPr>
          <w:sz w:val="22"/>
        </w:rPr>
        <w:t>, (3), 268.</w:t>
      </w:r>
    </w:p>
    <w:p w14:paraId="62302BFF" w14:textId="77777777" w:rsidR="001833B5" w:rsidRPr="0015218E" w:rsidRDefault="001833B5">
      <w:pPr>
        <w:pStyle w:val="EndnoteText"/>
        <w:rPr>
          <w:sz w:val="22"/>
        </w:rPr>
      </w:pPr>
    </w:p>
  </w:endnote>
  <w:endnote w:id="9">
    <w:p w14:paraId="57C5EDE5" w14:textId="77777777" w:rsidR="001833B5" w:rsidRPr="00C47AD0" w:rsidRDefault="001833B5" w:rsidP="00A167C1">
      <w:pPr>
        <w:pStyle w:val="EndnoteText"/>
        <w:rPr>
          <w:sz w:val="22"/>
          <w:szCs w:val="22"/>
        </w:rPr>
      </w:pPr>
      <w:r w:rsidRPr="00C47AD0">
        <w:rPr>
          <w:rStyle w:val="EndnoteReference"/>
          <w:sz w:val="22"/>
          <w:szCs w:val="22"/>
        </w:rPr>
        <w:endnoteRef/>
      </w:r>
      <w:r w:rsidRPr="00C47AD0">
        <w:rPr>
          <w:sz w:val="22"/>
          <w:szCs w:val="22"/>
        </w:rPr>
        <w:t xml:space="preserve"> LeClere, F., Plummer, S., Vanicek, J., Amaya, A., &amp; Carris, K. (2012). Household early bird incentives: leveraging family influence to improve household response rates. In </w:t>
      </w:r>
      <w:r w:rsidRPr="00C47AD0">
        <w:rPr>
          <w:i/>
          <w:iCs/>
          <w:sz w:val="22"/>
          <w:szCs w:val="22"/>
        </w:rPr>
        <w:t>American Statistical Association Joint Statistical Meetings, Section on Survey Research</w:t>
      </w:r>
      <w:r w:rsidRPr="00C47AD0">
        <w:rPr>
          <w:sz w:val="22"/>
          <w:szCs w:val="22"/>
        </w:rPr>
        <w:t>.</w:t>
      </w:r>
      <w:r w:rsidRPr="00C47AD0">
        <w:rPr>
          <w:sz w:val="22"/>
          <w:szCs w:val="22"/>
        </w:rPr>
        <w:br/>
      </w:r>
    </w:p>
  </w:endnote>
  <w:endnote w:id="10">
    <w:p w14:paraId="5F444D9F" w14:textId="77777777" w:rsidR="001833B5" w:rsidRPr="00C47AD0" w:rsidRDefault="001833B5" w:rsidP="00A167C1">
      <w:pPr>
        <w:pStyle w:val="EndnoteText"/>
        <w:rPr>
          <w:sz w:val="22"/>
          <w:szCs w:val="22"/>
        </w:rPr>
      </w:pPr>
      <w:r w:rsidRPr="00C47AD0">
        <w:rPr>
          <w:rStyle w:val="EndnoteReference"/>
          <w:sz w:val="22"/>
          <w:szCs w:val="22"/>
        </w:rPr>
        <w:endnoteRef/>
      </w:r>
      <w:r w:rsidRPr="00C47AD0">
        <w:rPr>
          <w:sz w:val="22"/>
          <w:szCs w:val="22"/>
        </w:rPr>
        <w:t xml:space="preserve"> Fordyce, E., Dekker, K., Volberg, R., Williams, R. (2015, November).  </w:t>
      </w:r>
      <w:r w:rsidRPr="00C47AD0">
        <w:rPr>
          <w:i/>
          <w:sz w:val="22"/>
          <w:szCs w:val="22"/>
        </w:rPr>
        <w:t>Validity of Data for Early Bird Responders in a Statewide Gambling Study</w:t>
      </w:r>
      <w:r w:rsidRPr="00C47AD0">
        <w:rPr>
          <w:sz w:val="22"/>
          <w:szCs w:val="22"/>
        </w:rPr>
        <w:t>.  Presented at the annual Midwest Association for Public Opinion Research (MAPOR) Conference, Chicago, IL.</w:t>
      </w:r>
      <w:r w:rsidRPr="00C47AD0">
        <w:rPr>
          <w:sz w:val="22"/>
          <w:szCs w:val="22"/>
        </w:rPr>
        <w:br/>
      </w:r>
    </w:p>
  </w:endnote>
  <w:endnote w:id="11">
    <w:p w14:paraId="6CC348F9" w14:textId="75B9A23E" w:rsidR="001833B5" w:rsidRPr="00C47AD0" w:rsidRDefault="001833B5" w:rsidP="00554487">
      <w:pPr>
        <w:pStyle w:val="EndnoteText"/>
        <w:rPr>
          <w:sz w:val="22"/>
          <w:szCs w:val="22"/>
        </w:rPr>
      </w:pPr>
      <w:r w:rsidRPr="00C47AD0">
        <w:rPr>
          <w:rStyle w:val="EndnoteReference"/>
          <w:sz w:val="22"/>
          <w:szCs w:val="22"/>
        </w:rPr>
        <w:endnoteRef/>
      </w:r>
      <w:r w:rsidRPr="00C47AD0">
        <w:rPr>
          <w:sz w:val="22"/>
          <w:szCs w:val="22"/>
        </w:rPr>
        <w:t xml:space="preserve"> Singer, Eleanor, and C. Ye. 2013. "The Use and Effects of Incentives in Surveys." </w:t>
      </w:r>
      <w:r w:rsidRPr="00C47AD0">
        <w:rPr>
          <w:i/>
          <w:iCs/>
          <w:sz w:val="22"/>
          <w:szCs w:val="22"/>
        </w:rPr>
        <w:t>Annals of the American Academy of Political and Social Science</w:t>
      </w:r>
      <w:r w:rsidRPr="00C47AD0">
        <w:rPr>
          <w:sz w:val="22"/>
          <w:szCs w:val="22"/>
        </w:rPr>
        <w:t>, 645(1): 112-141.</w:t>
      </w:r>
      <w:r w:rsidRPr="00C47AD0">
        <w:rPr>
          <w:sz w:val="22"/>
          <w:szCs w:val="22"/>
        </w:rPr>
        <w:br/>
      </w:r>
    </w:p>
  </w:endnote>
  <w:endnote w:id="12">
    <w:p w14:paraId="7147BC80" w14:textId="340A64A5" w:rsidR="001833B5" w:rsidRPr="00C47AD0" w:rsidRDefault="001833B5">
      <w:pPr>
        <w:pStyle w:val="EndnoteText"/>
        <w:rPr>
          <w:sz w:val="22"/>
          <w:szCs w:val="22"/>
        </w:rPr>
      </w:pPr>
      <w:r w:rsidRPr="00C47AD0">
        <w:rPr>
          <w:rStyle w:val="EndnoteReference"/>
          <w:sz w:val="22"/>
          <w:szCs w:val="22"/>
        </w:rPr>
        <w:endnoteRef/>
      </w:r>
      <w:r w:rsidRPr="00C47AD0">
        <w:rPr>
          <w:sz w:val="22"/>
          <w:szCs w:val="22"/>
        </w:rPr>
        <w:t xml:space="preserve"> Dutwin, D., Loft, J. D., Darling, J. E., Holbrook, A. L., Johnson, T. P., Langley, R. E., ... &amp; Triplett, T. (2015). Current Knowledge and Considerations Regarding Survey Refusals Executive Summary of the AAPOR Task Force Report on Survey Refusals. Public Opinion Quarterly, 79(2), 411-419.</w:t>
      </w:r>
      <w:r w:rsidRPr="00C47AD0">
        <w:rPr>
          <w:sz w:val="22"/>
          <w:szCs w:val="22"/>
        </w:rPr>
        <w:br/>
      </w:r>
    </w:p>
  </w:endnote>
  <w:endnote w:id="13">
    <w:p w14:paraId="2E99C7F7" w14:textId="6FA42C78" w:rsidR="001833B5" w:rsidRDefault="001833B5">
      <w:pPr>
        <w:pStyle w:val="EndnoteText"/>
        <w:rPr>
          <w:sz w:val="22"/>
          <w:szCs w:val="22"/>
        </w:rPr>
      </w:pPr>
      <w:r w:rsidRPr="00C47AD0">
        <w:rPr>
          <w:rStyle w:val="EndnoteReference"/>
          <w:sz w:val="22"/>
          <w:szCs w:val="22"/>
        </w:rPr>
        <w:endnoteRef/>
      </w:r>
      <w:r w:rsidRPr="00C47AD0">
        <w:rPr>
          <w:sz w:val="22"/>
          <w:szCs w:val="22"/>
        </w:rPr>
        <w:t xml:space="preserve"> Beebe, T. J., Davern, M. E., McAlpine, D. D., Call, K. T., &amp; Rockwood, T. H. (2005). Increasing Response Rates in a Survey of Medicaid Enrollees: The Effect of a Prepaid Monetary incentive and Mixed Modes (Mail and Telephone). </w:t>
      </w:r>
      <w:r w:rsidRPr="00C47AD0">
        <w:rPr>
          <w:i/>
          <w:sz w:val="22"/>
          <w:szCs w:val="22"/>
        </w:rPr>
        <w:t xml:space="preserve">Medical Care, 43(4), </w:t>
      </w:r>
      <w:r w:rsidRPr="00C47AD0">
        <w:rPr>
          <w:sz w:val="22"/>
          <w:szCs w:val="22"/>
        </w:rPr>
        <w:t xml:space="preserve">411-414. </w:t>
      </w:r>
    </w:p>
    <w:p w14:paraId="015EE4BB" w14:textId="77777777" w:rsidR="001833B5" w:rsidRPr="00C47AD0" w:rsidRDefault="001833B5">
      <w:pPr>
        <w:pStyle w:val="EndnoteText"/>
        <w:rPr>
          <w:i/>
          <w:sz w:val="22"/>
          <w:szCs w:val="22"/>
        </w:rPr>
      </w:pPr>
    </w:p>
  </w:endnote>
  <w:endnote w:id="14">
    <w:p w14:paraId="64627448" w14:textId="77777777" w:rsidR="001833B5" w:rsidRDefault="001833B5" w:rsidP="002F263D">
      <w:pPr>
        <w:pStyle w:val="EndnoteText"/>
      </w:pPr>
      <w:r>
        <w:rPr>
          <w:rStyle w:val="EndnoteReference"/>
        </w:rPr>
        <w:endnoteRef/>
      </w:r>
      <w:r>
        <w:t xml:space="preserve"> </w:t>
      </w:r>
      <w:r w:rsidRPr="00E27C10">
        <w:rPr>
          <w:sz w:val="22"/>
        </w:rPr>
        <w:t xml:space="preserve">Impaq International LLC. (2016). </w:t>
      </w:r>
      <w:r w:rsidRPr="00E27C10">
        <w:rPr>
          <w:i/>
          <w:sz w:val="22"/>
        </w:rPr>
        <w:t>National Implementation Of The Original Medicare Fee-For-Service Cahps Survey Data Collection And Data File Preparation: Annual Report For The 2016 Survey.</w:t>
      </w:r>
      <w:r w:rsidRPr="00E27C10">
        <w:rPr>
          <w:sz w:val="22"/>
        </w:rPr>
        <w:t xml:space="preserve"> Washington, DC: The Center for the Study of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8CDD" w14:textId="77777777" w:rsidR="001833B5" w:rsidRDefault="001833B5"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DAC2F" w14:textId="77777777" w:rsidR="001833B5" w:rsidRDefault="00183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4406" w14:textId="0A1231A6" w:rsidR="001833B5" w:rsidRPr="004A0E82" w:rsidRDefault="001833B5" w:rsidP="004A0E8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B03B" w14:textId="77777777" w:rsidR="00466C1D" w:rsidRDefault="00466C1D">
      <w:r>
        <w:separator/>
      </w:r>
    </w:p>
  </w:footnote>
  <w:footnote w:type="continuationSeparator" w:id="0">
    <w:p w14:paraId="141E33CB" w14:textId="77777777" w:rsidR="00466C1D" w:rsidRDefault="00466C1D">
      <w:r>
        <w:continuationSeparator/>
      </w:r>
    </w:p>
  </w:footnote>
  <w:footnote w:type="continuationNotice" w:id="1">
    <w:p w14:paraId="0385F817" w14:textId="77777777" w:rsidR="00466C1D" w:rsidRDefault="00466C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3E3"/>
    <w:multiLevelType w:val="hybridMultilevel"/>
    <w:tmpl w:val="A89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5440"/>
    <w:multiLevelType w:val="multilevel"/>
    <w:tmpl w:val="E5940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B77FF9"/>
    <w:multiLevelType w:val="hybridMultilevel"/>
    <w:tmpl w:val="2C24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87E4D"/>
    <w:multiLevelType w:val="hybridMultilevel"/>
    <w:tmpl w:val="3AF0510E"/>
    <w:lvl w:ilvl="0" w:tplc="0409000F">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6319C"/>
    <w:multiLevelType w:val="hybridMultilevel"/>
    <w:tmpl w:val="14988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2066D4"/>
    <w:multiLevelType w:val="hybridMultilevel"/>
    <w:tmpl w:val="2D5C8B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15:restartNumberingAfterBreak="0">
    <w:nsid w:val="359C6154"/>
    <w:multiLevelType w:val="hybridMultilevel"/>
    <w:tmpl w:val="433C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85B71"/>
    <w:multiLevelType w:val="hybridMultilevel"/>
    <w:tmpl w:val="ADDC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937C2"/>
    <w:multiLevelType w:val="hybridMultilevel"/>
    <w:tmpl w:val="790C6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F1501F"/>
    <w:multiLevelType w:val="hybridMultilevel"/>
    <w:tmpl w:val="F9189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C46DCE"/>
    <w:multiLevelType w:val="hybridMultilevel"/>
    <w:tmpl w:val="C1E4D876"/>
    <w:lvl w:ilvl="0" w:tplc="0409000F">
      <w:start w:val="1"/>
      <w:numFmt w:val="decimal"/>
      <w:lvlText w:val="%1."/>
      <w:lvlJc w:val="left"/>
      <w:pPr>
        <w:ind w:left="360" w:hanging="360"/>
      </w:pPr>
    </w:lvl>
    <w:lvl w:ilvl="1" w:tplc="3280AF18">
      <w:start w:val="1"/>
      <w:numFmt w:val="lowerLetter"/>
      <w:lvlText w:val="%2."/>
      <w:lvlJc w:val="left"/>
      <w:pPr>
        <w:ind w:left="1080" w:hanging="360"/>
      </w:pPr>
      <w:rPr>
        <w:rFonts w:hint="default"/>
      </w:rPr>
    </w:lvl>
    <w:lvl w:ilvl="2" w:tplc="CA9C7A3E">
      <w:start w:val="1"/>
      <w:numFmt w:val="upperLetter"/>
      <w:lvlText w:val="%3."/>
      <w:lvlJc w:val="left"/>
      <w:pPr>
        <w:ind w:left="189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28015D"/>
    <w:multiLevelType w:val="hybridMultilevel"/>
    <w:tmpl w:val="0DE8D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51C53D0D"/>
    <w:multiLevelType w:val="hybridMultilevel"/>
    <w:tmpl w:val="EACE6CA2"/>
    <w:lvl w:ilvl="0" w:tplc="D0E46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62E18"/>
    <w:multiLevelType w:val="hybridMultilevel"/>
    <w:tmpl w:val="01B8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53FC7"/>
    <w:multiLevelType w:val="hybridMultilevel"/>
    <w:tmpl w:val="D372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7" w15:restartNumberingAfterBreak="0">
    <w:nsid w:val="5AC21712"/>
    <w:multiLevelType w:val="hybridMultilevel"/>
    <w:tmpl w:val="B9FA3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AD6ADF"/>
    <w:multiLevelType w:val="hybridMultilevel"/>
    <w:tmpl w:val="7564F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9"/>
  </w:num>
  <w:num w:numId="2">
    <w:abstractNumId w:val="16"/>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5"/>
  </w:num>
  <w:num w:numId="12">
    <w:abstractNumId w:val="8"/>
  </w:num>
  <w:num w:numId="13">
    <w:abstractNumId w:val="4"/>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2"/>
  </w:num>
  <w:num w:numId="19">
    <w:abstractNumId w:val="14"/>
  </w:num>
  <w:num w:numId="20">
    <w:abstractNumId w:val="6"/>
  </w:num>
  <w:num w:numId="21">
    <w:abstractNumId w:val="13"/>
  </w:num>
  <w:num w:numId="22">
    <w:abstractNumId w:val="2"/>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7199"/>
    <w:rsid w:val="00011E85"/>
    <w:rsid w:val="0001276B"/>
    <w:rsid w:val="00012921"/>
    <w:rsid w:val="00012FB9"/>
    <w:rsid w:val="00015AAF"/>
    <w:rsid w:val="00016560"/>
    <w:rsid w:val="00021B3C"/>
    <w:rsid w:val="00024FEE"/>
    <w:rsid w:val="00026291"/>
    <w:rsid w:val="00033301"/>
    <w:rsid w:val="00037998"/>
    <w:rsid w:val="00043473"/>
    <w:rsid w:val="00045959"/>
    <w:rsid w:val="00046359"/>
    <w:rsid w:val="000554E6"/>
    <w:rsid w:val="0006207D"/>
    <w:rsid w:val="000623C2"/>
    <w:rsid w:val="000703A8"/>
    <w:rsid w:val="00074B31"/>
    <w:rsid w:val="000769F7"/>
    <w:rsid w:val="000779A9"/>
    <w:rsid w:val="00082047"/>
    <w:rsid w:val="00084B9F"/>
    <w:rsid w:val="00090875"/>
    <w:rsid w:val="00092401"/>
    <w:rsid w:val="00094648"/>
    <w:rsid w:val="000956DF"/>
    <w:rsid w:val="00097866"/>
    <w:rsid w:val="000A016A"/>
    <w:rsid w:val="000A140E"/>
    <w:rsid w:val="000A3475"/>
    <w:rsid w:val="000A35BE"/>
    <w:rsid w:val="000A3BD0"/>
    <w:rsid w:val="000B019F"/>
    <w:rsid w:val="000B1480"/>
    <w:rsid w:val="000B7493"/>
    <w:rsid w:val="000B78CB"/>
    <w:rsid w:val="000C0FE1"/>
    <w:rsid w:val="000D27C6"/>
    <w:rsid w:val="000D429E"/>
    <w:rsid w:val="000E01D1"/>
    <w:rsid w:val="000E020C"/>
    <w:rsid w:val="000E0F27"/>
    <w:rsid w:val="000E4300"/>
    <w:rsid w:val="000E65BF"/>
    <w:rsid w:val="000F1328"/>
    <w:rsid w:val="000F2B59"/>
    <w:rsid w:val="00101D8B"/>
    <w:rsid w:val="00101FBF"/>
    <w:rsid w:val="00103E59"/>
    <w:rsid w:val="00105011"/>
    <w:rsid w:val="001057C6"/>
    <w:rsid w:val="00105F59"/>
    <w:rsid w:val="00106AA9"/>
    <w:rsid w:val="00107250"/>
    <w:rsid w:val="00112DF2"/>
    <w:rsid w:val="00112E72"/>
    <w:rsid w:val="0011336E"/>
    <w:rsid w:val="00120A0C"/>
    <w:rsid w:val="00124917"/>
    <w:rsid w:val="00125BFC"/>
    <w:rsid w:val="001301AA"/>
    <w:rsid w:val="00131443"/>
    <w:rsid w:val="00132C6B"/>
    <w:rsid w:val="001420A3"/>
    <w:rsid w:val="00146B3B"/>
    <w:rsid w:val="0015218E"/>
    <w:rsid w:val="00162997"/>
    <w:rsid w:val="00165AE2"/>
    <w:rsid w:val="00165D5F"/>
    <w:rsid w:val="00166A69"/>
    <w:rsid w:val="00173B81"/>
    <w:rsid w:val="00182468"/>
    <w:rsid w:val="001833B5"/>
    <w:rsid w:val="001868E0"/>
    <w:rsid w:val="00186C6F"/>
    <w:rsid w:val="00187A50"/>
    <w:rsid w:val="001914AA"/>
    <w:rsid w:val="00192850"/>
    <w:rsid w:val="00192EA6"/>
    <w:rsid w:val="001A28C0"/>
    <w:rsid w:val="001A35F6"/>
    <w:rsid w:val="001A6A44"/>
    <w:rsid w:val="001B1189"/>
    <w:rsid w:val="001B11BB"/>
    <w:rsid w:val="001B1C61"/>
    <w:rsid w:val="001B27FB"/>
    <w:rsid w:val="001B5B5B"/>
    <w:rsid w:val="001B626D"/>
    <w:rsid w:val="001B72E6"/>
    <w:rsid w:val="001C1B52"/>
    <w:rsid w:val="001C2552"/>
    <w:rsid w:val="001C59E4"/>
    <w:rsid w:val="001D238A"/>
    <w:rsid w:val="001D23FA"/>
    <w:rsid w:val="001D4903"/>
    <w:rsid w:val="001D4F7C"/>
    <w:rsid w:val="001E63C6"/>
    <w:rsid w:val="001F7A5B"/>
    <w:rsid w:val="00200523"/>
    <w:rsid w:val="00206467"/>
    <w:rsid w:val="00211E70"/>
    <w:rsid w:val="00213D01"/>
    <w:rsid w:val="00223384"/>
    <w:rsid w:val="0022366A"/>
    <w:rsid w:val="00226A3F"/>
    <w:rsid w:val="00241AF2"/>
    <w:rsid w:val="002438F4"/>
    <w:rsid w:val="00243FE7"/>
    <w:rsid w:val="00245A01"/>
    <w:rsid w:val="00254912"/>
    <w:rsid w:val="0026424E"/>
    <w:rsid w:val="0027118E"/>
    <w:rsid w:val="00272E29"/>
    <w:rsid w:val="002749E8"/>
    <w:rsid w:val="0027575C"/>
    <w:rsid w:val="0027791A"/>
    <w:rsid w:val="002815DB"/>
    <w:rsid w:val="002816EE"/>
    <w:rsid w:val="00281ADF"/>
    <w:rsid w:val="002847B2"/>
    <w:rsid w:val="002878D4"/>
    <w:rsid w:val="00291B73"/>
    <w:rsid w:val="002950B0"/>
    <w:rsid w:val="00295A87"/>
    <w:rsid w:val="002965B0"/>
    <w:rsid w:val="0029734C"/>
    <w:rsid w:val="0029795C"/>
    <w:rsid w:val="002A286A"/>
    <w:rsid w:val="002A2EB3"/>
    <w:rsid w:val="002A37BA"/>
    <w:rsid w:val="002B020D"/>
    <w:rsid w:val="002B27F2"/>
    <w:rsid w:val="002B382B"/>
    <w:rsid w:val="002B4D48"/>
    <w:rsid w:val="002B55DB"/>
    <w:rsid w:val="002B5F59"/>
    <w:rsid w:val="002B729A"/>
    <w:rsid w:val="002B7635"/>
    <w:rsid w:val="002C0434"/>
    <w:rsid w:val="002C0FA6"/>
    <w:rsid w:val="002C294E"/>
    <w:rsid w:val="002D258B"/>
    <w:rsid w:val="002D46D1"/>
    <w:rsid w:val="002D4D3A"/>
    <w:rsid w:val="002D64D9"/>
    <w:rsid w:val="002E27FB"/>
    <w:rsid w:val="002E54EF"/>
    <w:rsid w:val="002F263D"/>
    <w:rsid w:val="002F33CD"/>
    <w:rsid w:val="002F4DE8"/>
    <w:rsid w:val="00301BBD"/>
    <w:rsid w:val="003077FD"/>
    <w:rsid w:val="003109B5"/>
    <w:rsid w:val="003153D4"/>
    <w:rsid w:val="0032398B"/>
    <w:rsid w:val="00325B9C"/>
    <w:rsid w:val="003270FA"/>
    <w:rsid w:val="0033641B"/>
    <w:rsid w:val="00340D97"/>
    <w:rsid w:val="0034325D"/>
    <w:rsid w:val="00350E4E"/>
    <w:rsid w:val="00356D4B"/>
    <w:rsid w:val="00361F52"/>
    <w:rsid w:val="00365B7B"/>
    <w:rsid w:val="0037254D"/>
    <w:rsid w:val="0037427A"/>
    <w:rsid w:val="00375910"/>
    <w:rsid w:val="00375C3F"/>
    <w:rsid w:val="00377301"/>
    <w:rsid w:val="0037771B"/>
    <w:rsid w:val="00377A1D"/>
    <w:rsid w:val="00377D80"/>
    <w:rsid w:val="003812B1"/>
    <w:rsid w:val="0038217D"/>
    <w:rsid w:val="003830BB"/>
    <w:rsid w:val="00390F62"/>
    <w:rsid w:val="00392770"/>
    <w:rsid w:val="00394FB8"/>
    <w:rsid w:val="0039732A"/>
    <w:rsid w:val="003A0672"/>
    <w:rsid w:val="003A0C6F"/>
    <w:rsid w:val="003A1300"/>
    <w:rsid w:val="003A13EE"/>
    <w:rsid w:val="003A39C4"/>
    <w:rsid w:val="003A784A"/>
    <w:rsid w:val="003B2951"/>
    <w:rsid w:val="003B3D4D"/>
    <w:rsid w:val="003B5859"/>
    <w:rsid w:val="003B6B41"/>
    <w:rsid w:val="003C0F0B"/>
    <w:rsid w:val="003C60BD"/>
    <w:rsid w:val="003C6737"/>
    <w:rsid w:val="003C73C4"/>
    <w:rsid w:val="003D21A7"/>
    <w:rsid w:val="003D3937"/>
    <w:rsid w:val="003D431C"/>
    <w:rsid w:val="003D73D8"/>
    <w:rsid w:val="003D7D70"/>
    <w:rsid w:val="003E0113"/>
    <w:rsid w:val="003E2801"/>
    <w:rsid w:val="003E3989"/>
    <w:rsid w:val="003E70BC"/>
    <w:rsid w:val="003F0223"/>
    <w:rsid w:val="003F5921"/>
    <w:rsid w:val="00407837"/>
    <w:rsid w:val="00407917"/>
    <w:rsid w:val="004131BC"/>
    <w:rsid w:val="00414C80"/>
    <w:rsid w:val="004155E1"/>
    <w:rsid w:val="00416F92"/>
    <w:rsid w:val="00423E8F"/>
    <w:rsid w:val="00425853"/>
    <w:rsid w:val="00425974"/>
    <w:rsid w:val="0043596B"/>
    <w:rsid w:val="00437AF6"/>
    <w:rsid w:val="0044014B"/>
    <w:rsid w:val="00440E6F"/>
    <w:rsid w:val="004433A7"/>
    <w:rsid w:val="00444AB6"/>
    <w:rsid w:val="0044769A"/>
    <w:rsid w:val="0045008B"/>
    <w:rsid w:val="00450538"/>
    <w:rsid w:val="00450F90"/>
    <w:rsid w:val="00452268"/>
    <w:rsid w:val="00456179"/>
    <w:rsid w:val="00463457"/>
    <w:rsid w:val="00466C1D"/>
    <w:rsid w:val="00466F54"/>
    <w:rsid w:val="004670C2"/>
    <w:rsid w:val="00467163"/>
    <w:rsid w:val="0047504D"/>
    <w:rsid w:val="004757E3"/>
    <w:rsid w:val="00480523"/>
    <w:rsid w:val="004811AD"/>
    <w:rsid w:val="00481466"/>
    <w:rsid w:val="00482C44"/>
    <w:rsid w:val="00484875"/>
    <w:rsid w:val="00484E84"/>
    <w:rsid w:val="00485DAD"/>
    <w:rsid w:val="004904E8"/>
    <w:rsid w:val="00492F5F"/>
    <w:rsid w:val="004A004D"/>
    <w:rsid w:val="004A0E82"/>
    <w:rsid w:val="004A624D"/>
    <w:rsid w:val="004A6F69"/>
    <w:rsid w:val="004B53BD"/>
    <w:rsid w:val="004B7B91"/>
    <w:rsid w:val="004C3BA7"/>
    <w:rsid w:val="004C48FB"/>
    <w:rsid w:val="004C4A74"/>
    <w:rsid w:val="004D2F8D"/>
    <w:rsid w:val="004D5714"/>
    <w:rsid w:val="004E0CE1"/>
    <w:rsid w:val="004E11B0"/>
    <w:rsid w:val="004E16F6"/>
    <w:rsid w:val="004E3A1B"/>
    <w:rsid w:val="004F0D83"/>
    <w:rsid w:val="004F1232"/>
    <w:rsid w:val="004F38E4"/>
    <w:rsid w:val="004F7877"/>
    <w:rsid w:val="00501308"/>
    <w:rsid w:val="0050166F"/>
    <w:rsid w:val="00510909"/>
    <w:rsid w:val="0051153B"/>
    <w:rsid w:val="00513808"/>
    <w:rsid w:val="005143C0"/>
    <w:rsid w:val="00520CE0"/>
    <w:rsid w:val="00527BBD"/>
    <w:rsid w:val="00531857"/>
    <w:rsid w:val="00532A5C"/>
    <w:rsid w:val="00535B56"/>
    <w:rsid w:val="00537712"/>
    <w:rsid w:val="00541A96"/>
    <w:rsid w:val="00546912"/>
    <w:rsid w:val="00552E8D"/>
    <w:rsid w:val="00553BE2"/>
    <w:rsid w:val="00554487"/>
    <w:rsid w:val="00555582"/>
    <w:rsid w:val="00556066"/>
    <w:rsid w:val="0055625C"/>
    <w:rsid w:val="0056238F"/>
    <w:rsid w:val="00565B0D"/>
    <w:rsid w:val="005744C2"/>
    <w:rsid w:val="005813D5"/>
    <w:rsid w:val="00581FD2"/>
    <w:rsid w:val="00582513"/>
    <w:rsid w:val="00583027"/>
    <w:rsid w:val="005904D1"/>
    <w:rsid w:val="0059189B"/>
    <w:rsid w:val="00591FC8"/>
    <w:rsid w:val="00593E67"/>
    <w:rsid w:val="005A11C1"/>
    <w:rsid w:val="005A2ADB"/>
    <w:rsid w:val="005A3969"/>
    <w:rsid w:val="005A4058"/>
    <w:rsid w:val="005A6233"/>
    <w:rsid w:val="005A6ADA"/>
    <w:rsid w:val="005B198A"/>
    <w:rsid w:val="005B2955"/>
    <w:rsid w:val="005B3C01"/>
    <w:rsid w:val="005B6217"/>
    <w:rsid w:val="005B62CF"/>
    <w:rsid w:val="005B6C9E"/>
    <w:rsid w:val="005B6FAA"/>
    <w:rsid w:val="005B715B"/>
    <w:rsid w:val="005C37B1"/>
    <w:rsid w:val="005C4043"/>
    <w:rsid w:val="005C69E7"/>
    <w:rsid w:val="005D12EC"/>
    <w:rsid w:val="005D5E79"/>
    <w:rsid w:val="005D74F6"/>
    <w:rsid w:val="005D7759"/>
    <w:rsid w:val="005D794A"/>
    <w:rsid w:val="005E46C8"/>
    <w:rsid w:val="005E49B8"/>
    <w:rsid w:val="005F4B12"/>
    <w:rsid w:val="005F5101"/>
    <w:rsid w:val="005F701C"/>
    <w:rsid w:val="0060047D"/>
    <w:rsid w:val="00600E78"/>
    <w:rsid w:val="006014DB"/>
    <w:rsid w:val="00601990"/>
    <w:rsid w:val="00604437"/>
    <w:rsid w:val="00604C45"/>
    <w:rsid w:val="00606400"/>
    <w:rsid w:val="00613A40"/>
    <w:rsid w:val="00613C05"/>
    <w:rsid w:val="00614EB0"/>
    <w:rsid w:val="00615CDD"/>
    <w:rsid w:val="00617684"/>
    <w:rsid w:val="00620041"/>
    <w:rsid w:val="00620B93"/>
    <w:rsid w:val="0062198E"/>
    <w:rsid w:val="00623085"/>
    <w:rsid w:val="00625683"/>
    <w:rsid w:val="00625C1B"/>
    <w:rsid w:val="00625CFD"/>
    <w:rsid w:val="00626D1D"/>
    <w:rsid w:val="00631B63"/>
    <w:rsid w:val="00631C81"/>
    <w:rsid w:val="00635119"/>
    <w:rsid w:val="00636A0C"/>
    <w:rsid w:val="00652DA2"/>
    <w:rsid w:val="00655A17"/>
    <w:rsid w:val="006628A5"/>
    <w:rsid w:val="00664DCE"/>
    <w:rsid w:val="00665A2E"/>
    <w:rsid w:val="006666CE"/>
    <w:rsid w:val="006722F2"/>
    <w:rsid w:val="00673146"/>
    <w:rsid w:val="00673643"/>
    <w:rsid w:val="00674BE0"/>
    <w:rsid w:val="00674CB4"/>
    <w:rsid w:val="00674F09"/>
    <w:rsid w:val="00676ABD"/>
    <w:rsid w:val="00686C4F"/>
    <w:rsid w:val="00697DC2"/>
    <w:rsid w:val="00697F0B"/>
    <w:rsid w:val="006A28E1"/>
    <w:rsid w:val="006A4D4E"/>
    <w:rsid w:val="006A51E3"/>
    <w:rsid w:val="006A6698"/>
    <w:rsid w:val="006A710C"/>
    <w:rsid w:val="006B0148"/>
    <w:rsid w:val="006B030C"/>
    <w:rsid w:val="006B23E0"/>
    <w:rsid w:val="006B36BE"/>
    <w:rsid w:val="006C2510"/>
    <w:rsid w:val="006C43FF"/>
    <w:rsid w:val="006C45D0"/>
    <w:rsid w:val="006C52C3"/>
    <w:rsid w:val="006D1C5E"/>
    <w:rsid w:val="006D5A9E"/>
    <w:rsid w:val="006D6F8A"/>
    <w:rsid w:val="006E50B3"/>
    <w:rsid w:val="006F532D"/>
    <w:rsid w:val="0070072D"/>
    <w:rsid w:val="007011B9"/>
    <w:rsid w:val="00703573"/>
    <w:rsid w:val="00704032"/>
    <w:rsid w:val="007046BB"/>
    <w:rsid w:val="0070784B"/>
    <w:rsid w:val="007109B1"/>
    <w:rsid w:val="00710C91"/>
    <w:rsid w:val="00717E76"/>
    <w:rsid w:val="007208E0"/>
    <w:rsid w:val="00723075"/>
    <w:rsid w:val="00724079"/>
    <w:rsid w:val="00733323"/>
    <w:rsid w:val="0074032E"/>
    <w:rsid w:val="0074342D"/>
    <w:rsid w:val="00744A77"/>
    <w:rsid w:val="00744D19"/>
    <w:rsid w:val="00745632"/>
    <w:rsid w:val="00747A7E"/>
    <w:rsid w:val="00747D2F"/>
    <w:rsid w:val="00751C2B"/>
    <w:rsid w:val="00752EA8"/>
    <w:rsid w:val="00754480"/>
    <w:rsid w:val="00754AE0"/>
    <w:rsid w:val="00754F64"/>
    <w:rsid w:val="0076174E"/>
    <w:rsid w:val="0076309D"/>
    <w:rsid w:val="0076470D"/>
    <w:rsid w:val="00764C3F"/>
    <w:rsid w:val="00765D1A"/>
    <w:rsid w:val="007677FF"/>
    <w:rsid w:val="007700A7"/>
    <w:rsid w:val="00771870"/>
    <w:rsid w:val="007721F3"/>
    <w:rsid w:val="00776654"/>
    <w:rsid w:val="00781E78"/>
    <w:rsid w:val="0079281B"/>
    <w:rsid w:val="007A08F8"/>
    <w:rsid w:val="007A265C"/>
    <w:rsid w:val="007A32C7"/>
    <w:rsid w:val="007B0CF3"/>
    <w:rsid w:val="007B2403"/>
    <w:rsid w:val="007B3A8E"/>
    <w:rsid w:val="007B6378"/>
    <w:rsid w:val="007C1ECB"/>
    <w:rsid w:val="007C5AC4"/>
    <w:rsid w:val="007D1A16"/>
    <w:rsid w:val="007D4F9F"/>
    <w:rsid w:val="007D62A1"/>
    <w:rsid w:val="007E140A"/>
    <w:rsid w:val="007E4359"/>
    <w:rsid w:val="007E5AF9"/>
    <w:rsid w:val="007E5DFB"/>
    <w:rsid w:val="007F25D4"/>
    <w:rsid w:val="007F3D69"/>
    <w:rsid w:val="0080612B"/>
    <w:rsid w:val="0080661C"/>
    <w:rsid w:val="0080664C"/>
    <w:rsid w:val="00811735"/>
    <w:rsid w:val="0081501D"/>
    <w:rsid w:val="00817DA0"/>
    <w:rsid w:val="00823205"/>
    <w:rsid w:val="008236FA"/>
    <w:rsid w:val="00825DA9"/>
    <w:rsid w:val="0083145C"/>
    <w:rsid w:val="008370F8"/>
    <w:rsid w:val="00837A17"/>
    <w:rsid w:val="0084019A"/>
    <w:rsid w:val="00841047"/>
    <w:rsid w:val="00843C6D"/>
    <w:rsid w:val="008450C0"/>
    <w:rsid w:val="008459A0"/>
    <w:rsid w:val="008467F9"/>
    <w:rsid w:val="00853545"/>
    <w:rsid w:val="00854F30"/>
    <w:rsid w:val="0085698A"/>
    <w:rsid w:val="008573ED"/>
    <w:rsid w:val="00861E61"/>
    <w:rsid w:val="008645D2"/>
    <w:rsid w:val="00873F74"/>
    <w:rsid w:val="00877468"/>
    <w:rsid w:val="0088092B"/>
    <w:rsid w:val="00880DFE"/>
    <w:rsid w:val="00887F65"/>
    <w:rsid w:val="00892655"/>
    <w:rsid w:val="00895330"/>
    <w:rsid w:val="00895A96"/>
    <w:rsid w:val="00897ABA"/>
    <w:rsid w:val="008A2335"/>
    <w:rsid w:val="008A30B9"/>
    <w:rsid w:val="008B593F"/>
    <w:rsid w:val="008B5D8F"/>
    <w:rsid w:val="008C4690"/>
    <w:rsid w:val="008C4715"/>
    <w:rsid w:val="008C580E"/>
    <w:rsid w:val="008C5F58"/>
    <w:rsid w:val="008C7E89"/>
    <w:rsid w:val="008D0099"/>
    <w:rsid w:val="008D028E"/>
    <w:rsid w:val="008D5F0D"/>
    <w:rsid w:val="008E4945"/>
    <w:rsid w:val="008E4FC9"/>
    <w:rsid w:val="008E567E"/>
    <w:rsid w:val="008F0B8B"/>
    <w:rsid w:val="008F2503"/>
    <w:rsid w:val="008F35D0"/>
    <w:rsid w:val="008F685A"/>
    <w:rsid w:val="00904CC3"/>
    <w:rsid w:val="00905D57"/>
    <w:rsid w:val="00910788"/>
    <w:rsid w:val="00910C4B"/>
    <w:rsid w:val="00910D5A"/>
    <w:rsid w:val="0091380E"/>
    <w:rsid w:val="00916581"/>
    <w:rsid w:val="0092168C"/>
    <w:rsid w:val="00922984"/>
    <w:rsid w:val="00927D3E"/>
    <w:rsid w:val="009374DF"/>
    <w:rsid w:val="00940A05"/>
    <w:rsid w:val="00941611"/>
    <w:rsid w:val="00946EA9"/>
    <w:rsid w:val="009502EA"/>
    <w:rsid w:val="00951784"/>
    <w:rsid w:val="00955553"/>
    <w:rsid w:val="00957898"/>
    <w:rsid w:val="009606A0"/>
    <w:rsid w:val="00966279"/>
    <w:rsid w:val="00970DCB"/>
    <w:rsid w:val="009741EE"/>
    <w:rsid w:val="009746A1"/>
    <w:rsid w:val="00974716"/>
    <w:rsid w:val="00976355"/>
    <w:rsid w:val="009826F5"/>
    <w:rsid w:val="00983173"/>
    <w:rsid w:val="0099335F"/>
    <w:rsid w:val="0099372F"/>
    <w:rsid w:val="009943E2"/>
    <w:rsid w:val="009943E4"/>
    <w:rsid w:val="00994C16"/>
    <w:rsid w:val="0099646C"/>
    <w:rsid w:val="00996CB5"/>
    <w:rsid w:val="009A09B4"/>
    <w:rsid w:val="009A237A"/>
    <w:rsid w:val="009A49A7"/>
    <w:rsid w:val="009B1D75"/>
    <w:rsid w:val="009B3622"/>
    <w:rsid w:val="009B53FF"/>
    <w:rsid w:val="009B633D"/>
    <w:rsid w:val="009B67F7"/>
    <w:rsid w:val="009C108C"/>
    <w:rsid w:val="009C4881"/>
    <w:rsid w:val="009D3857"/>
    <w:rsid w:val="009D3DBB"/>
    <w:rsid w:val="009D7364"/>
    <w:rsid w:val="009D74C4"/>
    <w:rsid w:val="009D787E"/>
    <w:rsid w:val="009E2222"/>
    <w:rsid w:val="009E5788"/>
    <w:rsid w:val="009F299E"/>
    <w:rsid w:val="009F43EA"/>
    <w:rsid w:val="009F4C1F"/>
    <w:rsid w:val="009F4DC7"/>
    <w:rsid w:val="009F597D"/>
    <w:rsid w:val="00A022A1"/>
    <w:rsid w:val="00A13D8D"/>
    <w:rsid w:val="00A1515D"/>
    <w:rsid w:val="00A15D49"/>
    <w:rsid w:val="00A167C1"/>
    <w:rsid w:val="00A21201"/>
    <w:rsid w:val="00A25344"/>
    <w:rsid w:val="00A30D9A"/>
    <w:rsid w:val="00A44855"/>
    <w:rsid w:val="00A452F4"/>
    <w:rsid w:val="00A4694A"/>
    <w:rsid w:val="00A50A65"/>
    <w:rsid w:val="00A60551"/>
    <w:rsid w:val="00A6105C"/>
    <w:rsid w:val="00A61AAC"/>
    <w:rsid w:val="00A63EAE"/>
    <w:rsid w:val="00A6458C"/>
    <w:rsid w:val="00A64E80"/>
    <w:rsid w:val="00A65442"/>
    <w:rsid w:val="00A65884"/>
    <w:rsid w:val="00A65C19"/>
    <w:rsid w:val="00A71B1B"/>
    <w:rsid w:val="00A73009"/>
    <w:rsid w:val="00A74E0A"/>
    <w:rsid w:val="00A777E1"/>
    <w:rsid w:val="00A835E4"/>
    <w:rsid w:val="00A87AD9"/>
    <w:rsid w:val="00A905D8"/>
    <w:rsid w:val="00A94219"/>
    <w:rsid w:val="00A95826"/>
    <w:rsid w:val="00A976BC"/>
    <w:rsid w:val="00AA0B6B"/>
    <w:rsid w:val="00AA1DDC"/>
    <w:rsid w:val="00AA22D4"/>
    <w:rsid w:val="00AA3F0B"/>
    <w:rsid w:val="00AA5014"/>
    <w:rsid w:val="00AA6550"/>
    <w:rsid w:val="00AA788A"/>
    <w:rsid w:val="00AB1EB8"/>
    <w:rsid w:val="00AB61C9"/>
    <w:rsid w:val="00AC40CE"/>
    <w:rsid w:val="00AC4CBD"/>
    <w:rsid w:val="00AC4ED6"/>
    <w:rsid w:val="00AD06A9"/>
    <w:rsid w:val="00AD4335"/>
    <w:rsid w:val="00AD6516"/>
    <w:rsid w:val="00AE2990"/>
    <w:rsid w:val="00AE4702"/>
    <w:rsid w:val="00AE5099"/>
    <w:rsid w:val="00AE6F4E"/>
    <w:rsid w:val="00AF2094"/>
    <w:rsid w:val="00AF33A0"/>
    <w:rsid w:val="00AF4E84"/>
    <w:rsid w:val="00AF750F"/>
    <w:rsid w:val="00B05942"/>
    <w:rsid w:val="00B15C92"/>
    <w:rsid w:val="00B20315"/>
    <w:rsid w:val="00B238AD"/>
    <w:rsid w:val="00B2400F"/>
    <w:rsid w:val="00B2457B"/>
    <w:rsid w:val="00B257FE"/>
    <w:rsid w:val="00B315CF"/>
    <w:rsid w:val="00B34E6E"/>
    <w:rsid w:val="00B43645"/>
    <w:rsid w:val="00B52533"/>
    <w:rsid w:val="00B57D7A"/>
    <w:rsid w:val="00B61FEB"/>
    <w:rsid w:val="00B645B1"/>
    <w:rsid w:val="00B645ED"/>
    <w:rsid w:val="00B64FA3"/>
    <w:rsid w:val="00B675E1"/>
    <w:rsid w:val="00B720EC"/>
    <w:rsid w:val="00B72D64"/>
    <w:rsid w:val="00B72E59"/>
    <w:rsid w:val="00B762E0"/>
    <w:rsid w:val="00B76A12"/>
    <w:rsid w:val="00B812D8"/>
    <w:rsid w:val="00B825D0"/>
    <w:rsid w:val="00B83929"/>
    <w:rsid w:val="00B83FBF"/>
    <w:rsid w:val="00B84320"/>
    <w:rsid w:val="00B86690"/>
    <w:rsid w:val="00B90BEB"/>
    <w:rsid w:val="00B915F1"/>
    <w:rsid w:val="00B9794F"/>
    <w:rsid w:val="00BA1661"/>
    <w:rsid w:val="00BA617D"/>
    <w:rsid w:val="00BA7023"/>
    <w:rsid w:val="00BA7DEC"/>
    <w:rsid w:val="00BB1A7C"/>
    <w:rsid w:val="00BB1C2F"/>
    <w:rsid w:val="00BB2479"/>
    <w:rsid w:val="00BB4EE0"/>
    <w:rsid w:val="00BB521D"/>
    <w:rsid w:val="00BB7136"/>
    <w:rsid w:val="00BB7A9C"/>
    <w:rsid w:val="00BC2E2E"/>
    <w:rsid w:val="00BC31FE"/>
    <w:rsid w:val="00BC5799"/>
    <w:rsid w:val="00BC6340"/>
    <w:rsid w:val="00BD00CB"/>
    <w:rsid w:val="00BD157B"/>
    <w:rsid w:val="00BD2532"/>
    <w:rsid w:val="00BD357C"/>
    <w:rsid w:val="00BD52A9"/>
    <w:rsid w:val="00BD66BD"/>
    <w:rsid w:val="00BE0430"/>
    <w:rsid w:val="00BE2238"/>
    <w:rsid w:val="00BE37E3"/>
    <w:rsid w:val="00BE40D8"/>
    <w:rsid w:val="00BE7AF0"/>
    <w:rsid w:val="00BF735E"/>
    <w:rsid w:val="00C014BF"/>
    <w:rsid w:val="00C0644C"/>
    <w:rsid w:val="00C163C6"/>
    <w:rsid w:val="00C16AB6"/>
    <w:rsid w:val="00C205C8"/>
    <w:rsid w:val="00C235D3"/>
    <w:rsid w:val="00C27A69"/>
    <w:rsid w:val="00C31D1A"/>
    <w:rsid w:val="00C32579"/>
    <w:rsid w:val="00C35650"/>
    <w:rsid w:val="00C3684E"/>
    <w:rsid w:val="00C4006D"/>
    <w:rsid w:val="00C41C68"/>
    <w:rsid w:val="00C43B5B"/>
    <w:rsid w:val="00C45D2E"/>
    <w:rsid w:val="00C46919"/>
    <w:rsid w:val="00C47AD0"/>
    <w:rsid w:val="00C47E1C"/>
    <w:rsid w:val="00C5237E"/>
    <w:rsid w:val="00C541AB"/>
    <w:rsid w:val="00C55DEB"/>
    <w:rsid w:val="00C5606C"/>
    <w:rsid w:val="00C606C3"/>
    <w:rsid w:val="00C62C31"/>
    <w:rsid w:val="00C65B05"/>
    <w:rsid w:val="00C7081B"/>
    <w:rsid w:val="00C70BF3"/>
    <w:rsid w:val="00C73F08"/>
    <w:rsid w:val="00C740BF"/>
    <w:rsid w:val="00C75626"/>
    <w:rsid w:val="00C77433"/>
    <w:rsid w:val="00C82384"/>
    <w:rsid w:val="00C83EF6"/>
    <w:rsid w:val="00C84911"/>
    <w:rsid w:val="00C929D4"/>
    <w:rsid w:val="00C933ED"/>
    <w:rsid w:val="00C95A35"/>
    <w:rsid w:val="00CA136B"/>
    <w:rsid w:val="00CA7470"/>
    <w:rsid w:val="00CB56E2"/>
    <w:rsid w:val="00CB7D4C"/>
    <w:rsid w:val="00CC197E"/>
    <w:rsid w:val="00CC20D7"/>
    <w:rsid w:val="00CC2FEA"/>
    <w:rsid w:val="00CD1E29"/>
    <w:rsid w:val="00CD2D6F"/>
    <w:rsid w:val="00CD397A"/>
    <w:rsid w:val="00CD4C0D"/>
    <w:rsid w:val="00CD526C"/>
    <w:rsid w:val="00CD655B"/>
    <w:rsid w:val="00CF3861"/>
    <w:rsid w:val="00CF3B20"/>
    <w:rsid w:val="00CF3C5A"/>
    <w:rsid w:val="00CF7583"/>
    <w:rsid w:val="00D00FC5"/>
    <w:rsid w:val="00D0660C"/>
    <w:rsid w:val="00D11271"/>
    <w:rsid w:val="00D12FCD"/>
    <w:rsid w:val="00D150A9"/>
    <w:rsid w:val="00D16910"/>
    <w:rsid w:val="00D17FE9"/>
    <w:rsid w:val="00D20C47"/>
    <w:rsid w:val="00D211EF"/>
    <w:rsid w:val="00D24779"/>
    <w:rsid w:val="00D2521F"/>
    <w:rsid w:val="00D26DDC"/>
    <w:rsid w:val="00D27D52"/>
    <w:rsid w:val="00D33285"/>
    <w:rsid w:val="00D37A8C"/>
    <w:rsid w:val="00D44D4E"/>
    <w:rsid w:val="00D474B5"/>
    <w:rsid w:val="00D507F7"/>
    <w:rsid w:val="00D51C29"/>
    <w:rsid w:val="00D543D5"/>
    <w:rsid w:val="00D54C31"/>
    <w:rsid w:val="00D60A16"/>
    <w:rsid w:val="00D61338"/>
    <w:rsid w:val="00D66E74"/>
    <w:rsid w:val="00D71264"/>
    <w:rsid w:val="00D72F05"/>
    <w:rsid w:val="00D764B4"/>
    <w:rsid w:val="00D81601"/>
    <w:rsid w:val="00D849A4"/>
    <w:rsid w:val="00D84B17"/>
    <w:rsid w:val="00D85C58"/>
    <w:rsid w:val="00D90589"/>
    <w:rsid w:val="00D90C9E"/>
    <w:rsid w:val="00D95D70"/>
    <w:rsid w:val="00DA097F"/>
    <w:rsid w:val="00DA2E7E"/>
    <w:rsid w:val="00DA35B4"/>
    <w:rsid w:val="00DA3E7C"/>
    <w:rsid w:val="00DA73A3"/>
    <w:rsid w:val="00DA77BD"/>
    <w:rsid w:val="00DA79B5"/>
    <w:rsid w:val="00DA7D01"/>
    <w:rsid w:val="00DB0D27"/>
    <w:rsid w:val="00DB3948"/>
    <w:rsid w:val="00DB49A0"/>
    <w:rsid w:val="00DC40C8"/>
    <w:rsid w:val="00DC5AA7"/>
    <w:rsid w:val="00DD040C"/>
    <w:rsid w:val="00DD0A49"/>
    <w:rsid w:val="00DD1CDA"/>
    <w:rsid w:val="00DD23CE"/>
    <w:rsid w:val="00DD72B3"/>
    <w:rsid w:val="00DE2E04"/>
    <w:rsid w:val="00DE2ED0"/>
    <w:rsid w:val="00DE69BF"/>
    <w:rsid w:val="00DF3049"/>
    <w:rsid w:val="00DF4F3C"/>
    <w:rsid w:val="00DF4F6F"/>
    <w:rsid w:val="00DF580D"/>
    <w:rsid w:val="00DF7CD0"/>
    <w:rsid w:val="00E0383F"/>
    <w:rsid w:val="00E0434E"/>
    <w:rsid w:val="00E076A3"/>
    <w:rsid w:val="00E11731"/>
    <w:rsid w:val="00E14FC3"/>
    <w:rsid w:val="00E16AC7"/>
    <w:rsid w:val="00E17CA7"/>
    <w:rsid w:val="00E2592B"/>
    <w:rsid w:val="00E25B8E"/>
    <w:rsid w:val="00E263D5"/>
    <w:rsid w:val="00E32234"/>
    <w:rsid w:val="00E329EE"/>
    <w:rsid w:val="00E35437"/>
    <w:rsid w:val="00E3705A"/>
    <w:rsid w:val="00E43EBB"/>
    <w:rsid w:val="00E45058"/>
    <w:rsid w:val="00E47851"/>
    <w:rsid w:val="00E5045E"/>
    <w:rsid w:val="00E52235"/>
    <w:rsid w:val="00E55A34"/>
    <w:rsid w:val="00E55CC4"/>
    <w:rsid w:val="00E56716"/>
    <w:rsid w:val="00E64FA9"/>
    <w:rsid w:val="00E706B3"/>
    <w:rsid w:val="00E7422B"/>
    <w:rsid w:val="00E7435F"/>
    <w:rsid w:val="00E771C3"/>
    <w:rsid w:val="00E8641B"/>
    <w:rsid w:val="00E90A94"/>
    <w:rsid w:val="00E9166E"/>
    <w:rsid w:val="00E94785"/>
    <w:rsid w:val="00E95E30"/>
    <w:rsid w:val="00E97584"/>
    <w:rsid w:val="00EA10AD"/>
    <w:rsid w:val="00EA466C"/>
    <w:rsid w:val="00EA608F"/>
    <w:rsid w:val="00EA711E"/>
    <w:rsid w:val="00EB58F3"/>
    <w:rsid w:val="00EB7A97"/>
    <w:rsid w:val="00EC2A50"/>
    <w:rsid w:val="00EC6A89"/>
    <w:rsid w:val="00ED0EBB"/>
    <w:rsid w:val="00ED2EA4"/>
    <w:rsid w:val="00ED6DCE"/>
    <w:rsid w:val="00EE27A1"/>
    <w:rsid w:val="00EE4455"/>
    <w:rsid w:val="00EF1A24"/>
    <w:rsid w:val="00EF6F28"/>
    <w:rsid w:val="00F00EF3"/>
    <w:rsid w:val="00F04055"/>
    <w:rsid w:val="00F054F3"/>
    <w:rsid w:val="00F05CEC"/>
    <w:rsid w:val="00F063FD"/>
    <w:rsid w:val="00F07775"/>
    <w:rsid w:val="00F1036B"/>
    <w:rsid w:val="00F122B9"/>
    <w:rsid w:val="00F143F3"/>
    <w:rsid w:val="00F1499C"/>
    <w:rsid w:val="00F16953"/>
    <w:rsid w:val="00F17922"/>
    <w:rsid w:val="00F21CD9"/>
    <w:rsid w:val="00F22750"/>
    <w:rsid w:val="00F2289E"/>
    <w:rsid w:val="00F22E80"/>
    <w:rsid w:val="00F30951"/>
    <w:rsid w:val="00F31B10"/>
    <w:rsid w:val="00F3207F"/>
    <w:rsid w:val="00F3466C"/>
    <w:rsid w:val="00F3541A"/>
    <w:rsid w:val="00F37C26"/>
    <w:rsid w:val="00F41A8C"/>
    <w:rsid w:val="00F43841"/>
    <w:rsid w:val="00F43C9D"/>
    <w:rsid w:val="00F46275"/>
    <w:rsid w:val="00F50EDE"/>
    <w:rsid w:val="00F52FF5"/>
    <w:rsid w:val="00F553D9"/>
    <w:rsid w:val="00F5665F"/>
    <w:rsid w:val="00F5774C"/>
    <w:rsid w:val="00F60488"/>
    <w:rsid w:val="00F631B6"/>
    <w:rsid w:val="00F6381E"/>
    <w:rsid w:val="00F63BC0"/>
    <w:rsid w:val="00F640FB"/>
    <w:rsid w:val="00F6555C"/>
    <w:rsid w:val="00F66A1B"/>
    <w:rsid w:val="00F70715"/>
    <w:rsid w:val="00F719B8"/>
    <w:rsid w:val="00F74EA4"/>
    <w:rsid w:val="00F82C92"/>
    <w:rsid w:val="00F85E7E"/>
    <w:rsid w:val="00F94B00"/>
    <w:rsid w:val="00F97BD2"/>
    <w:rsid w:val="00F97FF9"/>
    <w:rsid w:val="00FA03AD"/>
    <w:rsid w:val="00FA0597"/>
    <w:rsid w:val="00FA2E89"/>
    <w:rsid w:val="00FB0826"/>
    <w:rsid w:val="00FB4BFF"/>
    <w:rsid w:val="00FB5239"/>
    <w:rsid w:val="00FB5EFB"/>
    <w:rsid w:val="00FB6500"/>
    <w:rsid w:val="00FB6AE0"/>
    <w:rsid w:val="00FC430C"/>
    <w:rsid w:val="00FC5D7F"/>
    <w:rsid w:val="00FC7332"/>
    <w:rsid w:val="00FD0597"/>
    <w:rsid w:val="00FD1D9C"/>
    <w:rsid w:val="00FE0B1D"/>
    <w:rsid w:val="00FE0D9B"/>
    <w:rsid w:val="00FE150D"/>
    <w:rsid w:val="00FE4B54"/>
    <w:rsid w:val="00FE78AE"/>
    <w:rsid w:val="00FF0D82"/>
    <w:rsid w:val="00FF39EC"/>
    <w:rsid w:val="00FF42BD"/>
    <w:rsid w:val="00FF6327"/>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22396"/>
  <w15:docId w15:val="{735EF7D6-69E6-4642-B0CE-95D05BDD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1201"/>
    <w:pPr>
      <w:keepNext/>
      <w:spacing w:before="360" w:after="240"/>
      <w:outlineLvl w:val="1"/>
    </w:pPr>
    <w:rPr>
      <w:rFonts w:ascii="Arial" w:hAnsi="Arial" w:cs="Arial"/>
      <w:b/>
      <w:bCs/>
      <w:i/>
      <w:iCs/>
      <w:szCs w:val="28"/>
    </w:rPr>
  </w:style>
  <w:style w:type="paragraph" w:styleId="Heading3">
    <w:name w:val="heading 3"/>
    <w:basedOn w:val="Heading2"/>
    <w:next w:val="Normal"/>
    <w:qFormat/>
    <w:rsid w:val="00A21201"/>
    <w:pPr>
      <w:spacing w:before="240" w:after="120"/>
      <w:outlineLvl w:val="2"/>
    </w:pPr>
    <w:rPr>
      <w:b w:val="0"/>
      <w:bCs w:val="0"/>
      <w:sz w:val="22"/>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uiPriority w:val="99"/>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3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uiPriority w:val="99"/>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2D4D3A"/>
    <w:pPr>
      <w:keepLines/>
      <w:spacing w:after="0" w:line="259" w:lineRule="auto"/>
      <w:outlineLvl w:val="9"/>
    </w:pPr>
    <w:rPr>
      <w:rFonts w:cs="Times New Roman"/>
      <w:b w:val="0"/>
      <w:bCs w:val="0"/>
      <w:kern w:val="0"/>
    </w:rPr>
  </w:style>
  <w:style w:type="paragraph" w:styleId="BodyText">
    <w:name w:val="Body Text"/>
    <w:basedOn w:val="Normal"/>
    <w:link w:val="BodyTextChar"/>
    <w:rsid w:val="002D4D3A"/>
    <w:pPr>
      <w:spacing w:after="240"/>
    </w:pPr>
  </w:style>
  <w:style w:type="character" w:customStyle="1" w:styleId="BodyTextChar">
    <w:name w:val="Body Text Char"/>
    <w:link w:val="BodyText"/>
    <w:rsid w:val="002D4D3A"/>
    <w:rPr>
      <w:sz w:val="24"/>
      <w:szCs w:val="24"/>
    </w:rPr>
  </w:style>
  <w:style w:type="paragraph" w:customStyle="1" w:styleId="Default">
    <w:name w:val="Default"/>
    <w:rsid w:val="00200523"/>
    <w:pPr>
      <w:autoSpaceDE w:val="0"/>
      <w:autoSpaceDN w:val="0"/>
      <w:adjustRightInd w:val="0"/>
    </w:pPr>
    <w:rPr>
      <w:color w:val="000000"/>
      <w:sz w:val="24"/>
      <w:szCs w:val="24"/>
    </w:rPr>
  </w:style>
  <w:style w:type="paragraph" w:customStyle="1" w:styleId="EndNoteBibliography">
    <w:name w:val="EndNote Bibliography"/>
    <w:basedOn w:val="Normal"/>
    <w:link w:val="EndNoteBibliographyChar"/>
    <w:rsid w:val="00F054F3"/>
    <w:rPr>
      <w:rFonts w:ascii="Calibri" w:hAnsi="Calibri"/>
      <w:noProof/>
      <w:sz w:val="22"/>
    </w:rPr>
  </w:style>
  <w:style w:type="character" w:customStyle="1" w:styleId="EndNoteBibliographyChar">
    <w:name w:val="EndNote Bibliography Char"/>
    <w:link w:val="EndNoteBibliography"/>
    <w:rsid w:val="00F054F3"/>
    <w:rPr>
      <w:rFonts w:ascii="Calibri" w:hAnsi="Calibri"/>
      <w:noProof/>
      <w:sz w:val="22"/>
      <w:szCs w:val="24"/>
    </w:rPr>
  </w:style>
  <w:style w:type="character" w:styleId="PlaceholderText">
    <w:name w:val="Placeholder Text"/>
    <w:basedOn w:val="DefaultParagraphFont"/>
    <w:uiPriority w:val="99"/>
    <w:semiHidden/>
    <w:rsid w:val="005E46C8"/>
    <w:rPr>
      <w:color w:val="808080"/>
    </w:rPr>
  </w:style>
  <w:style w:type="paragraph" w:styleId="ListParagraph">
    <w:name w:val="List Paragraph"/>
    <w:basedOn w:val="Normal"/>
    <w:uiPriority w:val="34"/>
    <w:qFormat/>
    <w:rsid w:val="00895A96"/>
    <w:pPr>
      <w:ind w:left="720"/>
      <w:contextualSpacing/>
    </w:pPr>
  </w:style>
  <w:style w:type="paragraph" w:customStyle="1" w:styleId="TableSignificanceCaption">
    <w:name w:val="Table Significance_Caption"/>
    <w:basedOn w:val="Normal"/>
    <w:qFormat/>
    <w:rsid w:val="002C0FA6"/>
    <w:pPr>
      <w:jc w:val="both"/>
    </w:pPr>
    <w:rPr>
      <w:rFonts w:ascii="Arial" w:hAnsi="Arial"/>
      <w:sz w:val="18"/>
    </w:rPr>
  </w:style>
  <w:style w:type="paragraph" w:styleId="Revision">
    <w:name w:val="Revision"/>
    <w:hidden/>
    <w:uiPriority w:val="99"/>
    <w:semiHidden/>
    <w:rsid w:val="00CD2D6F"/>
    <w:rPr>
      <w:sz w:val="24"/>
      <w:szCs w:val="24"/>
    </w:rPr>
  </w:style>
  <w:style w:type="paragraph" w:customStyle="1" w:styleId="xmsonormal">
    <w:name w:val="x_msonormal"/>
    <w:basedOn w:val="Normal"/>
    <w:rsid w:val="00910C4B"/>
    <w:rPr>
      <w:rFonts w:eastAsiaTheme="minorHAnsi"/>
    </w:rPr>
  </w:style>
  <w:style w:type="paragraph" w:customStyle="1" w:styleId="StyleHeading112pt">
    <w:name w:val="Style Heading 1 + 12 pt"/>
    <w:basedOn w:val="Heading1"/>
    <w:rsid w:val="002D4D3A"/>
    <w:pPr>
      <w:spacing w:after="240"/>
    </w:pPr>
    <w:rPr>
      <w:sz w:val="24"/>
    </w:rPr>
  </w:style>
  <w:style w:type="paragraph" w:customStyle="1" w:styleId="StyleHeading212ptBefore0ptAfter0pt">
    <w:name w:val="Style Heading 2 + 12 pt Before:  0 pt After:  0 pt"/>
    <w:basedOn w:val="Heading2"/>
    <w:rsid w:val="002D4D3A"/>
    <w:pPr>
      <w:spacing w:before="0"/>
    </w:pPr>
    <w:rPr>
      <w:rFonts w:cs="Times New Roman"/>
      <w:szCs w:val="20"/>
    </w:rPr>
  </w:style>
  <w:style w:type="paragraph" w:customStyle="1" w:styleId="StyleHeading212pt">
    <w:name w:val="Style Heading 2 + 12 pt"/>
    <w:basedOn w:val="Heading2"/>
    <w:rsid w:val="002D4D3A"/>
    <w:pPr>
      <w:spacing w:after="120"/>
    </w:pPr>
  </w:style>
  <w:style w:type="paragraph" w:customStyle="1" w:styleId="StyleLeft05">
    <w:name w:val="Style Left:  0.5&quot;"/>
    <w:basedOn w:val="Normal"/>
    <w:rsid w:val="00A21201"/>
    <w:pPr>
      <w:spacing w:after="240"/>
      <w:ind w:left="720"/>
    </w:pPr>
    <w:rPr>
      <w:szCs w:val="20"/>
    </w:rPr>
  </w:style>
  <w:style w:type="paragraph" w:customStyle="1" w:styleId="NumberedBullet">
    <w:name w:val="Numbered Bullet"/>
    <w:basedOn w:val="Normal"/>
    <w:qFormat/>
    <w:rsid w:val="003153D4"/>
    <w:pPr>
      <w:numPr>
        <w:numId w:val="18"/>
      </w:numPr>
      <w:tabs>
        <w:tab w:val="clear" w:pos="792"/>
        <w:tab w:val="left" w:pos="360"/>
      </w:tabs>
      <w:spacing w:after="120"/>
      <w:ind w:left="720" w:right="360" w:hanging="288"/>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60003534">
      <w:bodyDiv w:val="1"/>
      <w:marLeft w:val="0"/>
      <w:marRight w:val="0"/>
      <w:marTop w:val="0"/>
      <w:marBottom w:val="0"/>
      <w:divBdr>
        <w:top w:val="none" w:sz="0" w:space="0" w:color="auto"/>
        <w:left w:val="none" w:sz="0" w:space="0" w:color="auto"/>
        <w:bottom w:val="none" w:sz="0" w:space="0" w:color="auto"/>
        <w:right w:val="none" w:sz="0" w:space="0" w:color="auto"/>
      </w:divBdr>
    </w:div>
    <w:div w:id="264853326">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31764773">
      <w:bodyDiv w:val="1"/>
      <w:marLeft w:val="0"/>
      <w:marRight w:val="0"/>
      <w:marTop w:val="0"/>
      <w:marBottom w:val="0"/>
      <w:divBdr>
        <w:top w:val="none" w:sz="0" w:space="0" w:color="auto"/>
        <w:left w:val="none" w:sz="0" w:space="0" w:color="auto"/>
        <w:bottom w:val="none" w:sz="0" w:space="0" w:color="auto"/>
        <w:right w:val="none" w:sz="0" w:space="0" w:color="auto"/>
      </w:divBdr>
    </w:div>
    <w:div w:id="369110307">
      <w:bodyDiv w:val="1"/>
      <w:marLeft w:val="0"/>
      <w:marRight w:val="0"/>
      <w:marTop w:val="0"/>
      <w:marBottom w:val="0"/>
      <w:divBdr>
        <w:top w:val="none" w:sz="0" w:space="0" w:color="auto"/>
        <w:left w:val="none" w:sz="0" w:space="0" w:color="auto"/>
        <w:bottom w:val="none" w:sz="0" w:space="0" w:color="auto"/>
        <w:right w:val="none" w:sz="0" w:space="0" w:color="auto"/>
      </w:divBdr>
    </w:div>
    <w:div w:id="404232462">
      <w:bodyDiv w:val="1"/>
      <w:marLeft w:val="0"/>
      <w:marRight w:val="0"/>
      <w:marTop w:val="0"/>
      <w:marBottom w:val="0"/>
      <w:divBdr>
        <w:top w:val="none" w:sz="0" w:space="0" w:color="auto"/>
        <w:left w:val="none" w:sz="0" w:space="0" w:color="auto"/>
        <w:bottom w:val="none" w:sz="0" w:space="0" w:color="auto"/>
        <w:right w:val="none" w:sz="0" w:space="0" w:color="auto"/>
      </w:divBdr>
    </w:div>
    <w:div w:id="552425417">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31793913">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15816798">
      <w:bodyDiv w:val="1"/>
      <w:marLeft w:val="0"/>
      <w:marRight w:val="0"/>
      <w:marTop w:val="0"/>
      <w:marBottom w:val="0"/>
      <w:divBdr>
        <w:top w:val="none" w:sz="0" w:space="0" w:color="auto"/>
        <w:left w:val="none" w:sz="0" w:space="0" w:color="auto"/>
        <w:bottom w:val="none" w:sz="0" w:space="0" w:color="auto"/>
        <w:right w:val="none" w:sz="0" w:space="0" w:color="auto"/>
      </w:divBdr>
    </w:div>
    <w:div w:id="729184284">
      <w:bodyDiv w:val="1"/>
      <w:marLeft w:val="0"/>
      <w:marRight w:val="0"/>
      <w:marTop w:val="0"/>
      <w:marBottom w:val="0"/>
      <w:divBdr>
        <w:top w:val="none" w:sz="0" w:space="0" w:color="auto"/>
        <w:left w:val="none" w:sz="0" w:space="0" w:color="auto"/>
        <w:bottom w:val="none" w:sz="0" w:space="0" w:color="auto"/>
        <w:right w:val="none" w:sz="0" w:space="0" w:color="auto"/>
      </w:divBdr>
    </w:div>
    <w:div w:id="779375216">
      <w:bodyDiv w:val="1"/>
      <w:marLeft w:val="0"/>
      <w:marRight w:val="0"/>
      <w:marTop w:val="0"/>
      <w:marBottom w:val="0"/>
      <w:divBdr>
        <w:top w:val="none" w:sz="0" w:space="0" w:color="auto"/>
        <w:left w:val="none" w:sz="0" w:space="0" w:color="auto"/>
        <w:bottom w:val="none" w:sz="0" w:space="0" w:color="auto"/>
        <w:right w:val="none" w:sz="0" w:space="0" w:color="auto"/>
      </w:divBdr>
    </w:div>
    <w:div w:id="794906930">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059864275">
      <w:bodyDiv w:val="1"/>
      <w:marLeft w:val="0"/>
      <w:marRight w:val="0"/>
      <w:marTop w:val="0"/>
      <w:marBottom w:val="0"/>
      <w:divBdr>
        <w:top w:val="none" w:sz="0" w:space="0" w:color="auto"/>
        <w:left w:val="none" w:sz="0" w:space="0" w:color="auto"/>
        <w:bottom w:val="none" w:sz="0" w:space="0" w:color="auto"/>
        <w:right w:val="none" w:sz="0" w:space="0" w:color="auto"/>
      </w:divBdr>
    </w:div>
    <w:div w:id="1105618735">
      <w:bodyDiv w:val="1"/>
      <w:marLeft w:val="0"/>
      <w:marRight w:val="0"/>
      <w:marTop w:val="0"/>
      <w:marBottom w:val="0"/>
      <w:divBdr>
        <w:top w:val="none" w:sz="0" w:space="0" w:color="auto"/>
        <w:left w:val="none" w:sz="0" w:space="0" w:color="auto"/>
        <w:bottom w:val="none" w:sz="0" w:space="0" w:color="auto"/>
        <w:right w:val="none" w:sz="0" w:space="0" w:color="auto"/>
      </w:divBdr>
    </w:div>
    <w:div w:id="1159074845">
      <w:bodyDiv w:val="1"/>
      <w:marLeft w:val="0"/>
      <w:marRight w:val="0"/>
      <w:marTop w:val="0"/>
      <w:marBottom w:val="0"/>
      <w:divBdr>
        <w:top w:val="none" w:sz="0" w:space="0" w:color="auto"/>
        <w:left w:val="none" w:sz="0" w:space="0" w:color="auto"/>
        <w:bottom w:val="none" w:sz="0" w:space="0" w:color="auto"/>
        <w:right w:val="none" w:sz="0" w:space="0" w:color="auto"/>
      </w:divBdr>
    </w:div>
    <w:div w:id="1159539057">
      <w:bodyDiv w:val="1"/>
      <w:marLeft w:val="0"/>
      <w:marRight w:val="0"/>
      <w:marTop w:val="0"/>
      <w:marBottom w:val="0"/>
      <w:divBdr>
        <w:top w:val="none" w:sz="0" w:space="0" w:color="auto"/>
        <w:left w:val="none" w:sz="0" w:space="0" w:color="auto"/>
        <w:bottom w:val="none" w:sz="0" w:space="0" w:color="auto"/>
        <w:right w:val="none" w:sz="0" w:space="0" w:color="auto"/>
      </w:divBdr>
      <w:divsChild>
        <w:div w:id="151070915">
          <w:marLeft w:val="0"/>
          <w:marRight w:val="0"/>
          <w:marTop w:val="0"/>
          <w:marBottom w:val="0"/>
          <w:divBdr>
            <w:top w:val="none" w:sz="0" w:space="0" w:color="auto"/>
            <w:left w:val="none" w:sz="0" w:space="0" w:color="auto"/>
            <w:bottom w:val="none" w:sz="0" w:space="0" w:color="auto"/>
            <w:right w:val="none" w:sz="0" w:space="0" w:color="auto"/>
          </w:divBdr>
          <w:divsChild>
            <w:div w:id="223955730">
              <w:marLeft w:val="0"/>
              <w:marRight w:val="0"/>
              <w:marTop w:val="0"/>
              <w:marBottom w:val="0"/>
              <w:divBdr>
                <w:top w:val="none" w:sz="0" w:space="0" w:color="auto"/>
                <w:left w:val="none" w:sz="0" w:space="0" w:color="auto"/>
                <w:bottom w:val="none" w:sz="0" w:space="0" w:color="auto"/>
                <w:right w:val="none" w:sz="0" w:space="0" w:color="auto"/>
              </w:divBdr>
              <w:divsChild>
                <w:div w:id="609435476">
                  <w:marLeft w:val="0"/>
                  <w:marRight w:val="0"/>
                  <w:marTop w:val="0"/>
                  <w:marBottom w:val="0"/>
                  <w:divBdr>
                    <w:top w:val="none" w:sz="0" w:space="0" w:color="auto"/>
                    <w:left w:val="none" w:sz="0" w:space="0" w:color="auto"/>
                    <w:bottom w:val="none" w:sz="0" w:space="0" w:color="auto"/>
                    <w:right w:val="none" w:sz="0" w:space="0" w:color="auto"/>
                  </w:divBdr>
                  <w:divsChild>
                    <w:div w:id="784428928">
                      <w:marLeft w:val="0"/>
                      <w:marRight w:val="0"/>
                      <w:marTop w:val="0"/>
                      <w:marBottom w:val="0"/>
                      <w:divBdr>
                        <w:top w:val="none" w:sz="0" w:space="0" w:color="auto"/>
                        <w:left w:val="none" w:sz="0" w:space="0" w:color="auto"/>
                        <w:bottom w:val="none" w:sz="0" w:space="0" w:color="auto"/>
                        <w:right w:val="none" w:sz="0" w:space="0" w:color="auto"/>
                      </w:divBdr>
                      <w:divsChild>
                        <w:div w:id="1536701054">
                          <w:marLeft w:val="0"/>
                          <w:marRight w:val="0"/>
                          <w:marTop w:val="0"/>
                          <w:marBottom w:val="0"/>
                          <w:divBdr>
                            <w:top w:val="none" w:sz="0" w:space="0" w:color="auto"/>
                            <w:left w:val="none" w:sz="0" w:space="0" w:color="auto"/>
                            <w:bottom w:val="none" w:sz="0" w:space="0" w:color="auto"/>
                            <w:right w:val="none" w:sz="0" w:space="0" w:color="auto"/>
                          </w:divBdr>
                          <w:divsChild>
                            <w:div w:id="1730569429">
                              <w:marLeft w:val="-240"/>
                              <w:marRight w:val="-240"/>
                              <w:marTop w:val="0"/>
                              <w:marBottom w:val="0"/>
                              <w:divBdr>
                                <w:top w:val="none" w:sz="0" w:space="0" w:color="auto"/>
                                <w:left w:val="none" w:sz="0" w:space="0" w:color="auto"/>
                                <w:bottom w:val="none" w:sz="0" w:space="0" w:color="auto"/>
                                <w:right w:val="none" w:sz="0" w:space="0" w:color="auto"/>
                              </w:divBdr>
                              <w:divsChild>
                                <w:div w:id="785851914">
                                  <w:marLeft w:val="0"/>
                                  <w:marRight w:val="0"/>
                                  <w:marTop w:val="0"/>
                                  <w:marBottom w:val="0"/>
                                  <w:divBdr>
                                    <w:top w:val="none" w:sz="0" w:space="0" w:color="auto"/>
                                    <w:left w:val="none" w:sz="0" w:space="0" w:color="auto"/>
                                    <w:bottom w:val="none" w:sz="0" w:space="0" w:color="auto"/>
                                    <w:right w:val="none" w:sz="0" w:space="0" w:color="auto"/>
                                  </w:divBdr>
                                  <w:divsChild>
                                    <w:div w:id="709107158">
                                      <w:marLeft w:val="0"/>
                                      <w:marRight w:val="0"/>
                                      <w:marTop w:val="0"/>
                                      <w:marBottom w:val="0"/>
                                      <w:divBdr>
                                        <w:top w:val="none" w:sz="0" w:space="0" w:color="auto"/>
                                        <w:left w:val="none" w:sz="0" w:space="0" w:color="auto"/>
                                        <w:bottom w:val="none" w:sz="0" w:space="0" w:color="auto"/>
                                        <w:right w:val="none" w:sz="0" w:space="0" w:color="auto"/>
                                      </w:divBdr>
                                      <w:divsChild>
                                        <w:div w:id="897084054">
                                          <w:marLeft w:val="0"/>
                                          <w:marRight w:val="0"/>
                                          <w:marTop w:val="0"/>
                                          <w:marBottom w:val="0"/>
                                          <w:divBdr>
                                            <w:top w:val="none" w:sz="0" w:space="0" w:color="auto"/>
                                            <w:left w:val="none" w:sz="0" w:space="0" w:color="auto"/>
                                            <w:bottom w:val="none" w:sz="0" w:space="0" w:color="auto"/>
                                            <w:right w:val="none" w:sz="0" w:space="0" w:color="auto"/>
                                          </w:divBdr>
                                          <w:divsChild>
                                            <w:div w:id="225646939">
                                              <w:marLeft w:val="0"/>
                                              <w:marRight w:val="0"/>
                                              <w:marTop w:val="0"/>
                                              <w:marBottom w:val="0"/>
                                              <w:divBdr>
                                                <w:top w:val="none" w:sz="0" w:space="0" w:color="auto"/>
                                                <w:left w:val="none" w:sz="0" w:space="0" w:color="auto"/>
                                                <w:bottom w:val="none" w:sz="0" w:space="0" w:color="auto"/>
                                                <w:right w:val="none" w:sz="0" w:space="0" w:color="auto"/>
                                              </w:divBdr>
                                              <w:divsChild>
                                                <w:div w:id="702756131">
                                                  <w:marLeft w:val="0"/>
                                                  <w:marRight w:val="0"/>
                                                  <w:marTop w:val="0"/>
                                                  <w:marBottom w:val="0"/>
                                                  <w:divBdr>
                                                    <w:top w:val="none" w:sz="0" w:space="0" w:color="auto"/>
                                                    <w:left w:val="none" w:sz="0" w:space="0" w:color="auto"/>
                                                    <w:bottom w:val="none" w:sz="0" w:space="0" w:color="auto"/>
                                                    <w:right w:val="none" w:sz="0" w:space="0" w:color="auto"/>
                                                  </w:divBdr>
                                                  <w:divsChild>
                                                    <w:div w:id="335231948">
                                                      <w:marLeft w:val="0"/>
                                                      <w:marRight w:val="0"/>
                                                      <w:marTop w:val="150"/>
                                                      <w:marBottom w:val="0"/>
                                                      <w:divBdr>
                                                        <w:top w:val="none" w:sz="0" w:space="0" w:color="auto"/>
                                                        <w:left w:val="none" w:sz="0" w:space="0" w:color="auto"/>
                                                        <w:bottom w:val="none" w:sz="0" w:space="0" w:color="auto"/>
                                                        <w:right w:val="none" w:sz="0" w:space="0" w:color="auto"/>
                                                      </w:divBdr>
                                                      <w:divsChild>
                                                        <w:div w:id="1545631556">
                                                          <w:marLeft w:val="-240"/>
                                                          <w:marRight w:val="-240"/>
                                                          <w:marTop w:val="0"/>
                                                          <w:marBottom w:val="0"/>
                                                          <w:divBdr>
                                                            <w:top w:val="none" w:sz="0" w:space="0" w:color="auto"/>
                                                            <w:left w:val="none" w:sz="0" w:space="0" w:color="auto"/>
                                                            <w:bottom w:val="none" w:sz="0" w:space="0" w:color="auto"/>
                                                            <w:right w:val="none" w:sz="0" w:space="0" w:color="auto"/>
                                                          </w:divBdr>
                                                          <w:divsChild>
                                                            <w:div w:id="2045715931">
                                                              <w:marLeft w:val="0"/>
                                                              <w:marRight w:val="0"/>
                                                              <w:marTop w:val="0"/>
                                                              <w:marBottom w:val="0"/>
                                                              <w:divBdr>
                                                                <w:top w:val="none" w:sz="0" w:space="0" w:color="auto"/>
                                                                <w:left w:val="none" w:sz="0" w:space="0" w:color="auto"/>
                                                                <w:bottom w:val="none" w:sz="0" w:space="0" w:color="auto"/>
                                                                <w:right w:val="none" w:sz="0" w:space="0" w:color="auto"/>
                                                              </w:divBdr>
                                                              <w:divsChild>
                                                                <w:div w:id="2050183353">
                                                                  <w:marLeft w:val="0"/>
                                                                  <w:marRight w:val="0"/>
                                                                  <w:marTop w:val="0"/>
                                                                  <w:marBottom w:val="0"/>
                                                                  <w:divBdr>
                                                                    <w:top w:val="none" w:sz="0" w:space="0" w:color="auto"/>
                                                                    <w:left w:val="none" w:sz="0" w:space="0" w:color="auto"/>
                                                                    <w:bottom w:val="none" w:sz="0" w:space="0" w:color="auto"/>
                                                                    <w:right w:val="none" w:sz="0" w:space="0" w:color="auto"/>
                                                                  </w:divBdr>
                                                                  <w:divsChild>
                                                                    <w:div w:id="1663772284">
                                                                      <w:marLeft w:val="-240"/>
                                                                      <w:marRight w:val="-240"/>
                                                                      <w:marTop w:val="0"/>
                                                                      <w:marBottom w:val="0"/>
                                                                      <w:divBdr>
                                                                        <w:top w:val="none" w:sz="0" w:space="0" w:color="auto"/>
                                                                        <w:left w:val="none" w:sz="0" w:space="0" w:color="auto"/>
                                                                        <w:bottom w:val="none" w:sz="0" w:space="0" w:color="auto"/>
                                                                        <w:right w:val="none" w:sz="0" w:space="0" w:color="auto"/>
                                                                      </w:divBdr>
                                                                      <w:divsChild>
                                                                        <w:div w:id="622002195">
                                                                          <w:marLeft w:val="0"/>
                                                                          <w:marRight w:val="0"/>
                                                                          <w:marTop w:val="0"/>
                                                                          <w:marBottom w:val="0"/>
                                                                          <w:divBdr>
                                                                            <w:top w:val="none" w:sz="0" w:space="0" w:color="auto"/>
                                                                            <w:left w:val="none" w:sz="0" w:space="0" w:color="auto"/>
                                                                            <w:bottom w:val="none" w:sz="0" w:space="0" w:color="auto"/>
                                                                            <w:right w:val="none" w:sz="0" w:space="0" w:color="auto"/>
                                                                          </w:divBdr>
                                                                          <w:divsChild>
                                                                            <w:div w:id="613631038">
                                                                              <w:marLeft w:val="-240"/>
                                                                              <w:marRight w:val="-240"/>
                                                                              <w:marTop w:val="0"/>
                                                                              <w:marBottom w:val="0"/>
                                                                              <w:divBdr>
                                                                                <w:top w:val="none" w:sz="0" w:space="0" w:color="auto"/>
                                                                                <w:left w:val="none" w:sz="0" w:space="0" w:color="auto"/>
                                                                                <w:bottom w:val="none" w:sz="0" w:space="0" w:color="auto"/>
                                                                                <w:right w:val="none" w:sz="0" w:space="0" w:color="auto"/>
                                                                              </w:divBdr>
                                                                              <w:divsChild>
                                                                                <w:div w:id="1980720096">
                                                                                  <w:marLeft w:val="0"/>
                                                                                  <w:marRight w:val="0"/>
                                                                                  <w:marTop w:val="0"/>
                                                                                  <w:marBottom w:val="0"/>
                                                                                  <w:divBdr>
                                                                                    <w:top w:val="none" w:sz="0" w:space="0" w:color="auto"/>
                                                                                    <w:left w:val="none" w:sz="0" w:space="0" w:color="auto"/>
                                                                                    <w:bottom w:val="none" w:sz="0" w:space="0" w:color="auto"/>
                                                                                    <w:right w:val="none" w:sz="0" w:space="0" w:color="auto"/>
                                                                                  </w:divBdr>
                                                                                  <w:divsChild>
                                                                                    <w:div w:id="16198773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262303881">
      <w:bodyDiv w:val="1"/>
      <w:marLeft w:val="0"/>
      <w:marRight w:val="0"/>
      <w:marTop w:val="0"/>
      <w:marBottom w:val="0"/>
      <w:divBdr>
        <w:top w:val="none" w:sz="0" w:space="0" w:color="auto"/>
        <w:left w:val="none" w:sz="0" w:space="0" w:color="auto"/>
        <w:bottom w:val="none" w:sz="0" w:space="0" w:color="auto"/>
        <w:right w:val="none" w:sz="0" w:space="0" w:color="auto"/>
      </w:divBdr>
    </w:div>
    <w:div w:id="1339767707">
      <w:bodyDiv w:val="1"/>
      <w:marLeft w:val="0"/>
      <w:marRight w:val="0"/>
      <w:marTop w:val="0"/>
      <w:marBottom w:val="0"/>
      <w:divBdr>
        <w:top w:val="none" w:sz="0" w:space="0" w:color="auto"/>
        <w:left w:val="none" w:sz="0" w:space="0" w:color="auto"/>
        <w:bottom w:val="none" w:sz="0" w:space="0" w:color="auto"/>
        <w:right w:val="none" w:sz="0" w:space="0" w:color="auto"/>
      </w:divBdr>
    </w:div>
    <w:div w:id="1453523842">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82831103">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2402759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jstor.org/stable/3768129" TargetMode="External"/><Relationship Id="rId2" Type="http://schemas.openxmlformats.org/officeDocument/2006/relationships/hyperlink" Target="http://doi.org/10.1186/1471-2458-10-602" TargetMode="External"/><Relationship Id="rId1" Type="http://schemas.openxmlformats.org/officeDocument/2006/relationships/hyperlink" Target="https://www.nimh.nih.gov/health/statistics/prevalence/serious-mental-illness-smi-among-us-adults.shtml" TargetMode="External"/><Relationship Id="rId4" Type="http://schemas.openxmlformats.org/officeDocument/2006/relationships/hyperlink" Target="http://www.nhssurveys.org/Filestore/Community_mental_health_response_ra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3B16-D661-4EFD-90A5-7DEBA200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5097</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35670</CharactersWithSpaces>
  <SharedDoc>false</SharedDoc>
  <HLinks>
    <vt:vector size="144" baseType="variant">
      <vt:variant>
        <vt:i4>4522096</vt:i4>
      </vt:variant>
      <vt:variant>
        <vt:i4>138</vt:i4>
      </vt:variant>
      <vt:variant>
        <vt:i4>0</vt:i4>
      </vt:variant>
      <vt:variant>
        <vt:i4>5</vt:i4>
      </vt:variant>
      <vt:variant>
        <vt:lpwstr>https://www.opm.gov/policy-data-oversight/pay-leave/salaries-wages/salary-tables/pdf/2014/DCB_h.pdf</vt:lpwstr>
      </vt:variant>
      <vt:variant>
        <vt:lpwstr/>
      </vt:variant>
      <vt:variant>
        <vt:i4>1310722</vt:i4>
      </vt:variant>
      <vt:variant>
        <vt:i4>135</vt:i4>
      </vt:variant>
      <vt:variant>
        <vt:i4>0</vt:i4>
      </vt:variant>
      <vt:variant>
        <vt:i4>5</vt:i4>
      </vt:variant>
      <vt:variant>
        <vt:lpwstr>http://www.opm.gov/policy-data-oversight/pay-leave/salaries-wages/salary-tables/pdf/2015/DCB.pdf</vt:lpwstr>
      </vt:variant>
      <vt:variant>
        <vt:lpwstr/>
      </vt:variant>
      <vt:variant>
        <vt:i4>7340045</vt:i4>
      </vt:variant>
      <vt:variant>
        <vt:i4>132</vt:i4>
      </vt:variant>
      <vt:variant>
        <vt:i4>0</vt:i4>
      </vt:variant>
      <vt:variant>
        <vt:i4>5</vt:i4>
      </vt:variant>
      <vt:variant>
        <vt:lpwstr>http://www.bls.gov/oes/current/oes_stru.htm</vt:lpwstr>
      </vt:variant>
      <vt:variant>
        <vt:lpwstr/>
      </vt:variant>
      <vt:variant>
        <vt:i4>1769526</vt:i4>
      </vt:variant>
      <vt:variant>
        <vt:i4>122</vt:i4>
      </vt:variant>
      <vt:variant>
        <vt:i4>0</vt:i4>
      </vt:variant>
      <vt:variant>
        <vt:i4>5</vt:i4>
      </vt:variant>
      <vt:variant>
        <vt:lpwstr/>
      </vt:variant>
      <vt:variant>
        <vt:lpwstr>_Toc480979547</vt:lpwstr>
      </vt:variant>
      <vt:variant>
        <vt:i4>1769526</vt:i4>
      </vt:variant>
      <vt:variant>
        <vt:i4>116</vt:i4>
      </vt:variant>
      <vt:variant>
        <vt:i4>0</vt:i4>
      </vt:variant>
      <vt:variant>
        <vt:i4>5</vt:i4>
      </vt:variant>
      <vt:variant>
        <vt:lpwstr/>
      </vt:variant>
      <vt:variant>
        <vt:lpwstr>_Toc480979546</vt:lpwstr>
      </vt:variant>
      <vt:variant>
        <vt:i4>1769526</vt:i4>
      </vt:variant>
      <vt:variant>
        <vt:i4>110</vt:i4>
      </vt:variant>
      <vt:variant>
        <vt:i4>0</vt:i4>
      </vt:variant>
      <vt:variant>
        <vt:i4>5</vt:i4>
      </vt:variant>
      <vt:variant>
        <vt:lpwstr/>
      </vt:variant>
      <vt:variant>
        <vt:lpwstr>_Toc480979545</vt:lpwstr>
      </vt:variant>
      <vt:variant>
        <vt:i4>1769526</vt:i4>
      </vt:variant>
      <vt:variant>
        <vt:i4>104</vt:i4>
      </vt:variant>
      <vt:variant>
        <vt:i4>0</vt:i4>
      </vt:variant>
      <vt:variant>
        <vt:i4>5</vt:i4>
      </vt:variant>
      <vt:variant>
        <vt:lpwstr/>
      </vt:variant>
      <vt:variant>
        <vt:lpwstr>_Toc480979544</vt:lpwstr>
      </vt:variant>
      <vt:variant>
        <vt:i4>1769526</vt:i4>
      </vt:variant>
      <vt:variant>
        <vt:i4>98</vt:i4>
      </vt:variant>
      <vt:variant>
        <vt:i4>0</vt:i4>
      </vt:variant>
      <vt:variant>
        <vt:i4>5</vt:i4>
      </vt:variant>
      <vt:variant>
        <vt:lpwstr/>
      </vt:variant>
      <vt:variant>
        <vt:lpwstr>_Toc480979543</vt:lpwstr>
      </vt:variant>
      <vt:variant>
        <vt:i4>1769526</vt:i4>
      </vt:variant>
      <vt:variant>
        <vt:i4>92</vt:i4>
      </vt:variant>
      <vt:variant>
        <vt:i4>0</vt:i4>
      </vt:variant>
      <vt:variant>
        <vt:i4>5</vt:i4>
      </vt:variant>
      <vt:variant>
        <vt:lpwstr/>
      </vt:variant>
      <vt:variant>
        <vt:lpwstr>_Toc480979542</vt:lpwstr>
      </vt:variant>
      <vt:variant>
        <vt:i4>1769526</vt:i4>
      </vt:variant>
      <vt:variant>
        <vt:i4>86</vt:i4>
      </vt:variant>
      <vt:variant>
        <vt:i4>0</vt:i4>
      </vt:variant>
      <vt:variant>
        <vt:i4>5</vt:i4>
      </vt:variant>
      <vt:variant>
        <vt:lpwstr/>
      </vt:variant>
      <vt:variant>
        <vt:lpwstr>_Toc480979541</vt:lpwstr>
      </vt:variant>
      <vt:variant>
        <vt:i4>1769526</vt:i4>
      </vt:variant>
      <vt:variant>
        <vt:i4>80</vt:i4>
      </vt:variant>
      <vt:variant>
        <vt:i4>0</vt:i4>
      </vt:variant>
      <vt:variant>
        <vt:i4>5</vt:i4>
      </vt:variant>
      <vt:variant>
        <vt:lpwstr/>
      </vt:variant>
      <vt:variant>
        <vt:lpwstr>_Toc480979540</vt:lpwstr>
      </vt:variant>
      <vt:variant>
        <vt:i4>1835062</vt:i4>
      </vt:variant>
      <vt:variant>
        <vt:i4>74</vt:i4>
      </vt:variant>
      <vt:variant>
        <vt:i4>0</vt:i4>
      </vt:variant>
      <vt:variant>
        <vt:i4>5</vt:i4>
      </vt:variant>
      <vt:variant>
        <vt:lpwstr/>
      </vt:variant>
      <vt:variant>
        <vt:lpwstr>_Toc480979539</vt:lpwstr>
      </vt:variant>
      <vt:variant>
        <vt:i4>1835062</vt:i4>
      </vt:variant>
      <vt:variant>
        <vt:i4>68</vt:i4>
      </vt:variant>
      <vt:variant>
        <vt:i4>0</vt:i4>
      </vt:variant>
      <vt:variant>
        <vt:i4>5</vt:i4>
      </vt:variant>
      <vt:variant>
        <vt:lpwstr/>
      </vt:variant>
      <vt:variant>
        <vt:lpwstr>_Toc480979538</vt:lpwstr>
      </vt:variant>
      <vt:variant>
        <vt:i4>1835062</vt:i4>
      </vt:variant>
      <vt:variant>
        <vt:i4>62</vt:i4>
      </vt:variant>
      <vt:variant>
        <vt:i4>0</vt:i4>
      </vt:variant>
      <vt:variant>
        <vt:i4>5</vt:i4>
      </vt:variant>
      <vt:variant>
        <vt:lpwstr/>
      </vt:variant>
      <vt:variant>
        <vt:lpwstr>_Toc480979537</vt:lpwstr>
      </vt:variant>
      <vt:variant>
        <vt:i4>1835062</vt:i4>
      </vt:variant>
      <vt:variant>
        <vt:i4>56</vt:i4>
      </vt:variant>
      <vt:variant>
        <vt:i4>0</vt:i4>
      </vt:variant>
      <vt:variant>
        <vt:i4>5</vt:i4>
      </vt:variant>
      <vt:variant>
        <vt:lpwstr/>
      </vt:variant>
      <vt:variant>
        <vt:lpwstr>_Toc480979536</vt:lpwstr>
      </vt:variant>
      <vt:variant>
        <vt:i4>1835062</vt:i4>
      </vt:variant>
      <vt:variant>
        <vt:i4>50</vt:i4>
      </vt:variant>
      <vt:variant>
        <vt:i4>0</vt:i4>
      </vt:variant>
      <vt:variant>
        <vt:i4>5</vt:i4>
      </vt:variant>
      <vt:variant>
        <vt:lpwstr/>
      </vt:variant>
      <vt:variant>
        <vt:lpwstr>_Toc480979535</vt:lpwstr>
      </vt:variant>
      <vt:variant>
        <vt:i4>1835062</vt:i4>
      </vt:variant>
      <vt:variant>
        <vt:i4>44</vt:i4>
      </vt:variant>
      <vt:variant>
        <vt:i4>0</vt:i4>
      </vt:variant>
      <vt:variant>
        <vt:i4>5</vt:i4>
      </vt:variant>
      <vt:variant>
        <vt:lpwstr/>
      </vt:variant>
      <vt:variant>
        <vt:lpwstr>_Toc480979534</vt:lpwstr>
      </vt:variant>
      <vt:variant>
        <vt:i4>1835062</vt:i4>
      </vt:variant>
      <vt:variant>
        <vt:i4>38</vt:i4>
      </vt:variant>
      <vt:variant>
        <vt:i4>0</vt:i4>
      </vt:variant>
      <vt:variant>
        <vt:i4>5</vt:i4>
      </vt:variant>
      <vt:variant>
        <vt:lpwstr/>
      </vt:variant>
      <vt:variant>
        <vt:lpwstr>_Toc480979533</vt:lpwstr>
      </vt:variant>
      <vt:variant>
        <vt:i4>1835062</vt:i4>
      </vt:variant>
      <vt:variant>
        <vt:i4>32</vt:i4>
      </vt:variant>
      <vt:variant>
        <vt:i4>0</vt:i4>
      </vt:variant>
      <vt:variant>
        <vt:i4>5</vt:i4>
      </vt:variant>
      <vt:variant>
        <vt:lpwstr/>
      </vt:variant>
      <vt:variant>
        <vt:lpwstr>_Toc480979532</vt:lpwstr>
      </vt:variant>
      <vt:variant>
        <vt:i4>1835062</vt:i4>
      </vt:variant>
      <vt:variant>
        <vt:i4>26</vt:i4>
      </vt:variant>
      <vt:variant>
        <vt:i4>0</vt:i4>
      </vt:variant>
      <vt:variant>
        <vt:i4>5</vt:i4>
      </vt:variant>
      <vt:variant>
        <vt:lpwstr/>
      </vt:variant>
      <vt:variant>
        <vt:lpwstr>_Toc480979531</vt:lpwstr>
      </vt:variant>
      <vt:variant>
        <vt:i4>1835062</vt:i4>
      </vt:variant>
      <vt:variant>
        <vt:i4>20</vt:i4>
      </vt:variant>
      <vt:variant>
        <vt:i4>0</vt:i4>
      </vt:variant>
      <vt:variant>
        <vt:i4>5</vt:i4>
      </vt:variant>
      <vt:variant>
        <vt:lpwstr/>
      </vt:variant>
      <vt:variant>
        <vt:lpwstr>_Toc480979530</vt:lpwstr>
      </vt:variant>
      <vt:variant>
        <vt:i4>1900598</vt:i4>
      </vt:variant>
      <vt:variant>
        <vt:i4>14</vt:i4>
      </vt:variant>
      <vt:variant>
        <vt:i4>0</vt:i4>
      </vt:variant>
      <vt:variant>
        <vt:i4>5</vt:i4>
      </vt:variant>
      <vt:variant>
        <vt:lpwstr/>
      </vt:variant>
      <vt:variant>
        <vt:lpwstr>_Toc480979529</vt:lpwstr>
      </vt:variant>
      <vt:variant>
        <vt:i4>1900598</vt:i4>
      </vt:variant>
      <vt:variant>
        <vt:i4>8</vt:i4>
      </vt:variant>
      <vt:variant>
        <vt:i4>0</vt:i4>
      </vt:variant>
      <vt:variant>
        <vt:i4>5</vt:i4>
      </vt:variant>
      <vt:variant>
        <vt:lpwstr/>
      </vt:variant>
      <vt:variant>
        <vt:lpwstr>_Toc480979528</vt:lpwstr>
      </vt:variant>
      <vt:variant>
        <vt:i4>1900598</vt:i4>
      </vt:variant>
      <vt:variant>
        <vt:i4>2</vt:i4>
      </vt:variant>
      <vt:variant>
        <vt:i4>0</vt:i4>
      </vt:variant>
      <vt:variant>
        <vt:i4>5</vt:i4>
      </vt:variant>
      <vt:variant>
        <vt:lpwstr/>
      </vt:variant>
      <vt:variant>
        <vt:lpwstr>_Toc480979527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Stephan McKenzie</cp:lastModifiedBy>
  <cp:revision>2</cp:revision>
  <cp:lastPrinted>2011-07-06T19:06:00Z</cp:lastPrinted>
  <dcterms:created xsi:type="dcterms:W3CDTF">2022-02-11T20:00:00Z</dcterms:created>
  <dcterms:modified xsi:type="dcterms:W3CDTF">2022-02-11T20:00:00Z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