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897424" w14:paraId="00000001" w14:textId="77777777">
      <w:pPr>
        <w:pStyle w:val="Heading1"/>
        <w:ind w:left="0"/>
        <w:jc w:val="center"/>
      </w:pPr>
      <w:r>
        <w:t>SUPPORTING STATEMENT</w:t>
      </w:r>
    </w:p>
    <w:p w:rsidR="00897424" w14:paraId="00000002" w14:textId="77777777">
      <w:pPr>
        <w:spacing w:before="22" w:line="259" w:lineRule="auto"/>
        <w:ind w:firstLine="14"/>
        <w:jc w:val="center"/>
        <w:rPr>
          <w:b/>
        </w:rPr>
      </w:pPr>
      <w:r>
        <w:rPr>
          <w:b/>
        </w:rPr>
        <w:t>U.S. Department of Commerce</w:t>
      </w:r>
    </w:p>
    <w:p w:rsidR="00897424" w14:paraId="00000003" w14:textId="77777777">
      <w:pPr>
        <w:spacing w:before="22" w:line="259" w:lineRule="auto"/>
        <w:ind w:firstLine="14"/>
        <w:jc w:val="center"/>
        <w:rPr>
          <w:b/>
        </w:rPr>
      </w:pPr>
      <w:r>
        <w:rPr>
          <w:b/>
        </w:rPr>
        <w:t>National Oceanic &amp; Atmospheric Administration</w:t>
      </w:r>
    </w:p>
    <w:p w:rsidR="00897424" w14:paraId="00000004" w14:textId="77777777">
      <w:pPr>
        <w:spacing w:line="259" w:lineRule="auto"/>
        <w:ind w:hanging="6"/>
        <w:jc w:val="center"/>
        <w:rPr>
          <w:b/>
        </w:rPr>
      </w:pPr>
      <w:r>
        <w:rPr>
          <w:b/>
        </w:rPr>
        <w:t>Understanding the Human Response to Water Hazards: A Social Network Analysis</w:t>
      </w:r>
    </w:p>
    <w:p w:rsidR="00897424" w14:paraId="00000005" w14:textId="77777777">
      <w:pPr>
        <w:spacing w:line="259" w:lineRule="auto"/>
        <w:ind w:hanging="6"/>
        <w:jc w:val="center"/>
        <w:rPr>
          <w:b/>
        </w:rPr>
      </w:pPr>
      <w:r>
        <w:rPr>
          <w:b/>
        </w:rPr>
        <w:t>OMB Control No. 0648-XXXX</w:t>
      </w:r>
    </w:p>
    <w:p w:rsidR="00897424" w14:paraId="00000006" w14:textId="77777777">
      <w:pPr>
        <w:pBdr>
          <w:top w:val="nil"/>
          <w:left w:val="nil"/>
          <w:bottom w:val="nil"/>
          <w:right w:val="nil"/>
          <w:between w:val="nil"/>
        </w:pBdr>
        <w:spacing w:before="1"/>
        <w:jc w:val="center"/>
        <w:rPr>
          <w:b/>
          <w:color w:val="000000"/>
        </w:rPr>
      </w:pPr>
    </w:p>
    <w:p w:rsidR="00897424" w14:paraId="00000007" w14:textId="77777777">
      <w:pPr>
        <w:spacing w:before="1" w:line="398" w:lineRule="auto"/>
        <w:rPr>
          <w:b/>
        </w:rPr>
      </w:pPr>
      <w:r>
        <w:rPr>
          <w:b/>
          <w:color w:val="000000"/>
        </w:rPr>
        <w:t xml:space="preserve">SUPPORTING STATEMENT </w:t>
      </w:r>
      <w:r>
        <w:rPr>
          <w:b/>
          <w:color w:val="000000"/>
        </w:rPr>
        <w:t>PART</w:t>
      </w:r>
      <w:r>
        <w:rPr>
          <w:b/>
          <w:color w:val="000000"/>
        </w:rPr>
        <w:t xml:space="preserve"> A</w:t>
      </w:r>
    </w:p>
    <w:p w:rsidR="00897424" w14:paraId="00000008" w14:textId="77777777">
      <w:pPr>
        <w:pStyle w:val="Heading1"/>
        <w:spacing w:before="199"/>
        <w:ind w:left="0"/>
      </w:pPr>
      <w:r>
        <w:t>Abstract</w:t>
      </w:r>
    </w:p>
    <w:p w:rsidR="00897424" w14:paraId="00000009" w14:textId="77777777">
      <w:pPr>
        <w:widowControl/>
        <w:pBdr>
          <w:top w:val="nil"/>
          <w:left w:val="nil"/>
          <w:bottom w:val="nil"/>
          <w:right w:val="nil"/>
          <w:between w:val="nil"/>
        </w:pBdr>
      </w:pPr>
      <w:r>
        <w:t>This is a request for a new collection of information.</w:t>
      </w:r>
    </w:p>
    <w:p w:rsidR="00897424" w14:paraId="0000000A" w14:textId="77777777">
      <w:pPr>
        <w:widowControl/>
        <w:pBdr>
          <w:top w:val="nil"/>
          <w:left w:val="nil"/>
          <w:bottom w:val="nil"/>
          <w:right w:val="nil"/>
          <w:between w:val="nil"/>
        </w:pBdr>
      </w:pPr>
    </w:p>
    <w:p w:rsidR="00897424" w14:paraId="0000000B" w14:textId="65BFBF0F">
      <w:pPr>
        <w:widowControl/>
        <w:pBdr>
          <w:top w:val="nil"/>
          <w:left w:val="nil"/>
          <w:bottom w:val="nil"/>
          <w:right w:val="nil"/>
          <w:between w:val="nil"/>
        </w:pBdr>
        <w:rPr>
          <w:color w:val="000000"/>
        </w:rPr>
      </w:pPr>
      <w:r>
        <w:rPr>
          <w:color w:val="000000"/>
        </w:rPr>
        <w:t>Under the Bipartisan Infrastructure Law, the National Weather Service</w:t>
      </w:r>
      <w:r>
        <w:t>’s</w:t>
      </w:r>
      <w:r>
        <w:rPr>
          <w:color w:val="000000"/>
        </w:rPr>
        <w:t xml:space="preserve"> Social, Behavioral, and Economic S</w:t>
      </w:r>
      <w:r>
        <w:t>cience (SBES)</w:t>
      </w:r>
      <w:r>
        <w:rPr>
          <w:color w:val="000000"/>
        </w:rPr>
        <w:t xml:space="preserve"> Program was provided funding to better understand the human responses to water </w:t>
      </w:r>
      <w:r>
        <w:rPr>
          <w:color w:val="000000"/>
        </w:rPr>
        <w:t>hazard services and products.  This project seeks to understand and mitigate flooding outcomes for riverine communities, especially those that rank high on the Centers for Disease Control’s (CDC’s) Social Vulnerability Index (SVI), by conducting a Social N</w:t>
      </w:r>
      <w:r>
        <w:rPr>
          <w:color w:val="000000"/>
        </w:rPr>
        <w:t>etwork Analysis (SNA) to study how stakeholders within 2 selected communities, Roanoke, Virginia, and Greenbrier County, West Virginia.  Based on interviews with local government leaders and community-based organizations (CBOs) along with a survey of resid</w:t>
      </w:r>
      <w:r>
        <w:rPr>
          <w:color w:val="000000"/>
        </w:rPr>
        <w:t>ents, the resulting SNA will map how messages are created and distributed, how they are accessed and understood, and how the information affects the decisions of emergency and water resource managers, first responders, community partners, and the general p</w:t>
      </w:r>
      <w:r>
        <w:rPr>
          <w:color w:val="000000"/>
        </w:rPr>
        <w:t xml:space="preserve">ublic as they prepare for, respond to, and recover from flooding events. While the NWS possesses some </w:t>
      </w:r>
      <w:r>
        <w:t>anecdotal</w:t>
      </w:r>
      <w:r>
        <w:rPr>
          <w:color w:val="000000"/>
        </w:rPr>
        <w:t xml:space="preserve"> knowledge of the dissemination and use of flood forecasts, a more complete accounting and formal analysis of the individuals and groups within t</w:t>
      </w:r>
      <w:r>
        <w:rPr>
          <w:color w:val="000000"/>
        </w:rPr>
        <w:t>hese networks are needed. Ideally, the findings from the SNA in relation to the water hazard products and services will not only improve the NWS’s understanding of who the stakeholders are, but also how they use the information provided and what they belie</w:t>
      </w:r>
      <w:r>
        <w:rPr>
          <w:color w:val="000000"/>
        </w:rPr>
        <w:t>ve are the benefits for their constituents.</w:t>
      </w:r>
    </w:p>
    <w:p w:rsidR="00897424" w14:paraId="0000000C" w14:textId="77777777">
      <w:pPr>
        <w:pStyle w:val="Heading1"/>
        <w:spacing w:before="124"/>
        <w:ind w:left="0"/>
      </w:pPr>
      <w:r>
        <w:t>Justification</w:t>
      </w:r>
    </w:p>
    <w:p w:rsidR="00897424" w14:paraId="0000000D" w14:textId="77777777">
      <w:pPr>
        <w:numPr>
          <w:ilvl w:val="0"/>
          <w:numId w:val="3"/>
        </w:numPr>
        <w:pBdr>
          <w:top w:val="nil"/>
          <w:left w:val="nil"/>
          <w:bottom w:val="nil"/>
          <w:right w:val="nil"/>
          <w:between w:val="nil"/>
        </w:pBdr>
        <w:tabs>
          <w:tab w:val="left" w:pos="360"/>
        </w:tabs>
        <w:spacing w:before="182" w:line="259" w:lineRule="auto"/>
        <w:rPr>
          <w:b/>
          <w:color w:val="000000"/>
        </w:rPr>
      </w:pPr>
      <w:r>
        <w:rPr>
          <w:b/>
          <w:color w:val="000000"/>
        </w:rPr>
        <w:t>Explain the circumstances that make the collection of information necessary. Identify any legal or administrative requirements that necessitate the collection. Attach a copy of the appropriate section of each statute and regulation mandating or authorizing</w:t>
      </w:r>
      <w:r>
        <w:rPr>
          <w:b/>
          <w:color w:val="000000"/>
        </w:rPr>
        <w:t xml:space="preserve"> the collection of information.</w:t>
      </w:r>
    </w:p>
    <w:p w:rsidR="00897424" w14:paraId="0000000E" w14:textId="77777777">
      <w:pPr>
        <w:widowControl/>
        <w:rPr>
          <w:b/>
          <w:color w:val="2F5496"/>
          <w:u w:val="single"/>
        </w:rPr>
      </w:pPr>
    </w:p>
    <w:p w:rsidR="00897424" w14:paraId="0000000F" w14:textId="77777777">
      <w:pPr>
        <w:widowControl/>
      </w:pPr>
      <w:r>
        <w:rPr>
          <w:color w:val="000000"/>
        </w:rPr>
        <w:t>The primary driver</w:t>
      </w:r>
      <w:r>
        <w:rPr>
          <w:b/>
          <w:color w:val="000000"/>
        </w:rPr>
        <w:t xml:space="preserve"> </w:t>
      </w:r>
      <w:r>
        <w:rPr>
          <w:color w:val="000000"/>
        </w:rPr>
        <w:t>for this project comes from the direction of NOAA leadership to develop a social behavioral infrastructure with data that supports the NWS in providing equitable service delivery for all of its products a</w:t>
      </w:r>
      <w:r>
        <w:rPr>
          <w:color w:val="000000"/>
        </w:rPr>
        <w:t xml:space="preserve">nd services.  Based on </w:t>
      </w:r>
      <w:hyperlink r:id="rId5">
        <w:r>
          <w:rPr>
            <w:color w:val="1155CC"/>
            <w:u w:val="single"/>
          </w:rPr>
          <w:t>H.R.3684 Infrastructure Investment and Jobs Act (IIJA)</w:t>
        </w:r>
      </w:hyperlink>
      <w:r>
        <w:rPr>
          <w:color w:val="000000"/>
          <w:u w:val="single"/>
        </w:rPr>
        <w:t>, Provision 3:</w:t>
      </w:r>
      <w:r>
        <w:rPr>
          <w:b/>
          <w:color w:val="000000"/>
        </w:rPr>
        <w:t xml:space="preserve"> </w:t>
      </w:r>
      <w:r>
        <w:rPr>
          <w:color w:val="000000"/>
        </w:rPr>
        <w:t>funding shall be used for coastal and inland flood and inundation mappi</w:t>
      </w:r>
      <w:r>
        <w:rPr>
          <w:color w:val="000000"/>
        </w:rPr>
        <w:t>ng and forecasting, next-generation water modeling activities such as modernized precipitation frequency and probable maximum studies, and transformative foundational social science research that build infrastructure and supports equitable service delivery</w:t>
      </w:r>
      <w:r>
        <w:rPr>
          <w:color w:val="000000"/>
        </w:rPr>
        <w:t xml:space="preserve"> to all communities.  This project also aligns with Goal 3 of the NWS Strategic Plan to transform our Agency to meet current and future needs of society by (3.6) delivering actionable inland and coastal water resource and inundation information across all </w:t>
      </w:r>
      <w:r>
        <w:rPr>
          <w:color w:val="000000"/>
        </w:rPr>
        <w:t>time scales to address the growing risk of flooding, drought, and low water flow as well as immediate and long range water management and planning; and by (3.8) understanding and applying the best social, behavioral, and economic sciences to clearly commun</w:t>
      </w:r>
      <w:r>
        <w:rPr>
          <w:color w:val="000000"/>
        </w:rPr>
        <w:t>icate information with communities in multiple languages and deliver equitable service for those historically underserved and socially vulnerable to attain the desired response to high impact events.     </w:t>
      </w:r>
    </w:p>
    <w:p w:rsidR="00897424" w14:paraId="00000010" w14:textId="77777777">
      <w:pPr>
        <w:pStyle w:val="Heading1"/>
        <w:numPr>
          <w:ilvl w:val="0"/>
          <w:numId w:val="3"/>
        </w:numPr>
        <w:tabs>
          <w:tab w:val="left" w:pos="360"/>
        </w:tabs>
        <w:spacing w:before="197"/>
      </w:pPr>
      <w:r>
        <w:t>Indicate how, by whom, and for what purpose the inf</w:t>
      </w:r>
      <w:r>
        <w:t>ormation is to be used. Except for a new collection, indicate the actual use the agency has made of the information received from the current collection.</w:t>
      </w:r>
    </w:p>
    <w:p w:rsidR="00897424" w14:paraId="00000011" w14:textId="77777777">
      <w:pPr>
        <w:pBdr>
          <w:top w:val="nil"/>
          <w:left w:val="nil"/>
          <w:bottom w:val="nil"/>
          <w:right w:val="nil"/>
          <w:between w:val="nil"/>
        </w:pBdr>
        <w:spacing w:before="182"/>
      </w:pPr>
      <w:r>
        <w:t>The interview protocols for local government leaders and faith and community-based organizations (FCBO</w:t>
      </w:r>
      <w:r>
        <w:t>s), along with the resident survey will cover the following topics:</w:t>
      </w:r>
    </w:p>
    <w:p w:rsidR="00897424" w14:paraId="00000012" w14:textId="77777777">
      <w:pPr>
        <w:widowControl/>
        <w:numPr>
          <w:ilvl w:val="0"/>
          <w:numId w:val="2"/>
        </w:numPr>
        <w:pBdr>
          <w:top w:val="nil"/>
          <w:left w:val="nil"/>
          <w:bottom w:val="nil"/>
          <w:right w:val="nil"/>
          <w:between w:val="nil"/>
        </w:pBdr>
      </w:pPr>
      <w:r>
        <w:t>Identification of creators, users, and consumers of flood risk information</w:t>
      </w:r>
    </w:p>
    <w:p w:rsidR="00897424" w14:paraId="00000013" w14:textId="77777777">
      <w:pPr>
        <w:widowControl/>
        <w:numPr>
          <w:ilvl w:val="0"/>
          <w:numId w:val="2"/>
        </w:numPr>
        <w:pBdr>
          <w:top w:val="nil"/>
          <w:left w:val="nil"/>
          <w:bottom w:val="nil"/>
          <w:right w:val="nil"/>
          <w:between w:val="nil"/>
        </w:pBdr>
      </w:pPr>
      <w:r>
        <w:t>Connections, dependencies, and feedback loops (formal and informal) between and across stakeholders</w:t>
      </w:r>
    </w:p>
    <w:p w:rsidR="00897424" w14:paraId="00000014" w14:textId="77777777">
      <w:pPr>
        <w:widowControl/>
        <w:numPr>
          <w:ilvl w:val="0"/>
          <w:numId w:val="2"/>
        </w:numPr>
        <w:pBdr>
          <w:top w:val="nil"/>
          <w:left w:val="nil"/>
          <w:bottom w:val="nil"/>
          <w:right w:val="nil"/>
          <w:between w:val="nil"/>
        </w:pBdr>
      </w:pPr>
      <w:r>
        <w:t>Barriers (pol</w:t>
      </w:r>
      <w:r>
        <w:t xml:space="preserve">icy, technology, personal, etc.) to sustained and systematic engagement/relationship building </w:t>
      </w:r>
    </w:p>
    <w:p w:rsidR="00897424" w14:paraId="00000015" w14:textId="77777777">
      <w:pPr>
        <w:widowControl/>
        <w:numPr>
          <w:ilvl w:val="0"/>
          <w:numId w:val="2"/>
        </w:numPr>
      </w:pPr>
      <w:r>
        <w:t xml:space="preserve">Decisions informed by water hazard information </w:t>
      </w:r>
    </w:p>
    <w:p w:rsidR="00897424" w14:paraId="00000016" w14:textId="77777777">
      <w:pPr>
        <w:widowControl/>
        <w:numPr>
          <w:ilvl w:val="0"/>
          <w:numId w:val="2"/>
        </w:numPr>
      </w:pPr>
      <w:r>
        <w:t xml:space="preserve">Networks and systems impacted by the water hazard products and services  </w:t>
      </w:r>
    </w:p>
    <w:p w:rsidR="00897424" w14:paraId="00000017" w14:textId="77777777">
      <w:pPr>
        <w:widowControl/>
        <w:numPr>
          <w:ilvl w:val="0"/>
          <w:numId w:val="2"/>
        </w:numPr>
        <w:pBdr>
          <w:top w:val="nil"/>
          <w:left w:val="nil"/>
          <w:bottom w:val="nil"/>
          <w:right w:val="nil"/>
          <w:between w:val="nil"/>
        </w:pBdr>
      </w:pPr>
      <w:r>
        <w:t xml:space="preserve">Dissemination of flood warning messages across the network </w:t>
      </w:r>
    </w:p>
    <w:p w:rsidR="00897424" w14:paraId="00000018" w14:textId="77777777">
      <w:pPr>
        <w:widowControl/>
        <w:numPr>
          <w:ilvl w:val="0"/>
          <w:numId w:val="2"/>
        </w:numPr>
        <w:pBdr>
          <w:top w:val="nil"/>
          <w:left w:val="nil"/>
          <w:bottom w:val="nil"/>
          <w:right w:val="nil"/>
          <w:between w:val="nil"/>
        </w:pBdr>
      </w:pPr>
      <w:r>
        <w:t xml:space="preserve">Message journey, starting from direct users of the water hazard information to intermediate and secondary consumers of the information   </w:t>
      </w:r>
    </w:p>
    <w:p w:rsidR="00897424" w14:paraId="00000019" w14:textId="77777777">
      <w:pPr>
        <w:pBdr>
          <w:top w:val="nil"/>
          <w:left w:val="nil"/>
          <w:bottom w:val="nil"/>
          <w:right w:val="nil"/>
          <w:between w:val="nil"/>
        </w:pBdr>
        <w:spacing w:before="159"/>
      </w:pPr>
      <w:r>
        <w:t>Semi-structured interviews will be utilized to collect inf</w:t>
      </w:r>
      <w:r>
        <w:t>ormation from state and local government leaders, as well as FCBO leaders. An on-line survey will be provided to residents of both communities, along with an in-person intercept survey provided to residents of Greenbrier County based on interviews with the</w:t>
      </w:r>
      <w:r>
        <w:t xml:space="preserve"> FCBO leaders. The semi-structured interviews will be conducted, either face to face or via video conferencing technology based on schedules and participant preference. The survey responses will be collected via a web platform called </w:t>
      </w:r>
      <w:r>
        <w:t>REDCap</w:t>
      </w:r>
      <w:r>
        <w:t>, while the inte</w:t>
      </w:r>
      <w:r>
        <w:t xml:space="preserve">rcept surveys will be fielded by the contractor and conducted face-to-face during invited community events.      </w:t>
      </w:r>
    </w:p>
    <w:p w:rsidR="00897424" w14:paraId="0000001A" w14:textId="77777777">
      <w:pPr>
        <w:pBdr>
          <w:top w:val="nil"/>
          <w:left w:val="nil"/>
          <w:bottom w:val="nil"/>
          <w:right w:val="nil"/>
          <w:between w:val="nil"/>
        </w:pBdr>
        <w:spacing w:before="80"/>
      </w:pPr>
      <w:r>
        <w:t>The SNA maps derived from the data collected will be utilized by the following NWS offices:</w:t>
      </w:r>
    </w:p>
    <w:p w:rsidR="00897424" w14:paraId="0000001B" w14:textId="77777777">
      <w:pPr>
        <w:numPr>
          <w:ilvl w:val="0"/>
          <w:numId w:val="1"/>
        </w:numPr>
        <w:pBdr>
          <w:top w:val="nil"/>
          <w:left w:val="nil"/>
          <w:bottom w:val="nil"/>
          <w:right w:val="nil"/>
          <w:between w:val="nil"/>
        </w:pBdr>
        <w:spacing w:before="80"/>
        <w:rPr>
          <w:color w:val="000000"/>
        </w:rPr>
      </w:pPr>
      <w:r>
        <w:rPr>
          <w:color w:val="000000"/>
        </w:rPr>
        <w:t>Community Engagement Program to support outreach and engagement activities with specific groups and the organizations that serve these populations.</w:t>
      </w:r>
    </w:p>
    <w:p w:rsidR="00897424" w14:paraId="0000001C" w14:textId="3B94DE92">
      <w:pPr>
        <w:numPr>
          <w:ilvl w:val="0"/>
          <w:numId w:val="1"/>
        </w:numPr>
        <w:pBdr>
          <w:top w:val="nil"/>
          <w:left w:val="nil"/>
          <w:bottom w:val="nil"/>
          <w:right w:val="nil"/>
          <w:between w:val="nil"/>
        </w:pBdr>
        <w:rPr>
          <w:color w:val="000000"/>
        </w:rPr>
      </w:pPr>
      <w:r>
        <w:rPr>
          <w:color w:val="000000"/>
        </w:rPr>
        <w:t>The Decision Support Integration Branch of the Analyze, Forecast, and Support Office to help them identify a</w:t>
      </w:r>
      <w:r>
        <w:rPr>
          <w:color w:val="000000"/>
        </w:rPr>
        <w:t xml:space="preserve">nd recruit organizations, businesses, and </w:t>
      </w:r>
      <w:r>
        <w:t>individuals</w:t>
      </w:r>
      <w:r>
        <w:rPr>
          <w:color w:val="000000"/>
        </w:rPr>
        <w:t xml:space="preserve"> who may be well poised</w:t>
      </w:r>
      <w:r>
        <w:rPr>
          <w:color w:val="000000"/>
        </w:rPr>
        <w:t xml:space="preserve"> to become Weather-Ready Ambassadors.</w:t>
      </w:r>
    </w:p>
    <w:p w:rsidR="00897424" w14:paraId="0000001D" w14:textId="77777777">
      <w:pPr>
        <w:pBdr>
          <w:top w:val="nil"/>
          <w:left w:val="nil"/>
          <w:bottom w:val="nil"/>
          <w:right w:val="nil"/>
          <w:between w:val="nil"/>
        </w:pBdr>
        <w:spacing w:before="80"/>
        <w:rPr>
          <w:color w:val="000000"/>
        </w:rPr>
      </w:pPr>
      <w:r>
        <w:t>The raw data collected will be used by t</w:t>
      </w:r>
      <w:r>
        <w:rPr>
          <w:color w:val="000000"/>
        </w:rPr>
        <w:t xml:space="preserve">he SBES Program in the Office of Science and Technology Integration in developing an Agent Based Model </w:t>
      </w:r>
      <w:r>
        <w:rPr>
          <w:color w:val="000000"/>
        </w:rPr>
        <w:t>(ABM) that can demonstrate, describe, and potentially anticipate evacuation and mobility behaviors within a prescribed system for inland flooding events.  If possible, the application of an ABM will support the development of mitigation efforts that stakeh</w:t>
      </w:r>
      <w:r>
        <w:rPr>
          <w:color w:val="000000"/>
        </w:rPr>
        <w:t xml:space="preserve">olders can test to understand how the actions of specific agents within a system could possibly alter outcomes of flooding events for a community. </w:t>
      </w:r>
    </w:p>
    <w:p w:rsidR="00897424" w14:paraId="0000001E" w14:textId="77777777">
      <w:pPr>
        <w:pBdr>
          <w:top w:val="nil"/>
          <w:left w:val="nil"/>
          <w:bottom w:val="nil"/>
          <w:right w:val="nil"/>
          <w:between w:val="nil"/>
        </w:pBdr>
        <w:spacing w:before="161"/>
      </w:pPr>
      <w:r>
        <w:t>For the semi-structured interviews, the participants will work with the contractor to schedule a time that i</w:t>
      </w:r>
      <w:r>
        <w:t>s best for their schedules.  The on-line survey will be open for 8 weeks and respondents will be provided reminders to complete the survey before it closes.  The intercept surveys will happen at specific planned community events based on invitations from l</w:t>
      </w:r>
      <w:r>
        <w:t>ocal government and/or FCBO leaders. This is a one-time data collection effort.</w:t>
      </w:r>
      <w:r>
        <w:rPr>
          <w:color w:val="2F5496"/>
        </w:rPr>
        <w:t xml:space="preserve"> </w:t>
      </w:r>
      <w:r>
        <w:t xml:space="preserve">The information may be shared with other NOAA Line Offices and academic institutions interested in SNA upon request. This is a new collection, and it will not be on-going.  </w:t>
      </w:r>
    </w:p>
    <w:p w:rsidR="00897424" w14:paraId="0000001F" w14:textId="77777777">
      <w:pPr>
        <w:numPr>
          <w:ilvl w:val="0"/>
          <w:numId w:val="3"/>
        </w:numPr>
        <w:pBdr>
          <w:top w:val="nil"/>
          <w:left w:val="nil"/>
          <w:bottom w:val="nil"/>
          <w:right w:val="nil"/>
          <w:between w:val="nil"/>
        </w:pBdr>
        <w:tabs>
          <w:tab w:val="left" w:pos="360"/>
        </w:tabs>
        <w:spacing w:before="199"/>
        <w:rPr>
          <w:b/>
          <w:color w:val="000000"/>
        </w:rPr>
      </w:pPr>
      <w:r>
        <w:rPr>
          <w:b/>
          <w:color w:val="000000"/>
        </w:rPr>
        <w:t>Describe whether, and to what extent, the collection of information involves the use of automated, electronic, mechanical, or other technological collection techniques or other forms of information technology, e.g. permitting electronic submission of respo</w:t>
      </w:r>
      <w:r>
        <w:rPr>
          <w:b/>
          <w:color w:val="000000"/>
        </w:rPr>
        <w:t>nses, and the basis for the decision for adopting this means of collection. Also, describe any consideration of using information technology to reduce burden.</w:t>
      </w:r>
    </w:p>
    <w:p w:rsidR="00897424" w14:paraId="00000020" w14:textId="77777777">
      <w:pPr>
        <w:pBdr>
          <w:top w:val="nil"/>
          <w:left w:val="nil"/>
          <w:bottom w:val="nil"/>
          <w:right w:val="nil"/>
          <w:between w:val="nil"/>
        </w:pBdr>
        <w:tabs>
          <w:tab w:val="left" w:pos="360"/>
        </w:tabs>
        <w:spacing w:before="199"/>
        <w:rPr>
          <w:color w:val="000000"/>
        </w:rPr>
      </w:pPr>
      <w:r>
        <w:rPr>
          <w:color w:val="000000"/>
        </w:rPr>
        <w:t>For the semi-structured interviews, the participant will be given the option of either an in-pers</w:t>
      </w:r>
      <w:r>
        <w:rPr>
          <w:color w:val="000000"/>
        </w:rPr>
        <w:t>on interview or a video interview based on their preferences.  The survey will also be provided electronically in addition to the in-person intercept surveys.</w:t>
      </w:r>
    </w:p>
    <w:p w:rsidR="00897424" w14:paraId="00000021" w14:textId="77777777">
      <w:pPr>
        <w:pBdr>
          <w:top w:val="nil"/>
          <w:left w:val="nil"/>
          <w:bottom w:val="nil"/>
          <w:right w:val="nil"/>
          <w:between w:val="nil"/>
        </w:pBdr>
        <w:tabs>
          <w:tab w:val="left" w:pos="360"/>
        </w:tabs>
        <w:spacing w:before="199"/>
        <w:rPr>
          <w:color w:val="000000"/>
        </w:rPr>
      </w:pPr>
      <w:r>
        <w:rPr>
          <w:color w:val="000000"/>
        </w:rPr>
        <w:t xml:space="preserve">  </w:t>
      </w:r>
    </w:p>
    <w:p w:rsidR="00897424" w14:paraId="00000022" w14:textId="77777777">
      <w:pPr>
        <w:numPr>
          <w:ilvl w:val="0"/>
          <w:numId w:val="3"/>
        </w:numPr>
        <w:pBdr>
          <w:top w:val="nil"/>
          <w:left w:val="nil"/>
          <w:bottom w:val="nil"/>
          <w:right w:val="nil"/>
          <w:between w:val="nil"/>
        </w:pBdr>
        <w:tabs>
          <w:tab w:val="left" w:pos="360"/>
        </w:tabs>
        <w:spacing w:before="80"/>
        <w:rPr>
          <w:b/>
          <w:color w:val="000000"/>
        </w:rPr>
      </w:pPr>
      <w:r>
        <w:rPr>
          <w:b/>
          <w:color w:val="000000"/>
        </w:rPr>
        <w:t>Describe efforts to identify duplication. Show specifically why any similar information alread</w:t>
      </w:r>
      <w:r>
        <w:rPr>
          <w:b/>
          <w:color w:val="000000"/>
        </w:rPr>
        <w:t>y available cannot be used or modified for use for the purposes described in Question 2.</w:t>
      </w:r>
    </w:p>
    <w:p w:rsidR="00897424" w14:paraId="00000023" w14:textId="77777777">
      <w:pPr>
        <w:pBdr>
          <w:top w:val="nil"/>
          <w:left w:val="nil"/>
          <w:bottom w:val="nil"/>
          <w:right w:val="nil"/>
          <w:between w:val="nil"/>
        </w:pBdr>
        <w:tabs>
          <w:tab w:val="left" w:pos="360"/>
        </w:tabs>
        <w:spacing w:before="80"/>
        <w:rPr>
          <w:color w:val="000000"/>
        </w:rPr>
      </w:pPr>
      <w:r>
        <w:rPr>
          <w:color w:val="000000"/>
        </w:rPr>
        <w:t>Meetings were held across the NWS and NOAA Weather Program Office to identify (1) if research had been conducted in the two selected riverine communities and/or (2) if</w:t>
      </w:r>
      <w:r>
        <w:rPr>
          <w:color w:val="000000"/>
        </w:rPr>
        <w:t xml:space="preserve"> SNA research had been conducted for weather events in prior studies.  It was discovered that there is actually very little research about mobility and evacuation behaviors for inland flooding communities throughout the literature.  Additionally, the one p</w:t>
      </w:r>
      <w:r>
        <w:rPr>
          <w:color w:val="000000"/>
        </w:rPr>
        <w:t>revious SNA project that was conducted by the Eastern Research Group in 2018, focused on the National Water Center and their federal partners only.  The previous study did not extend into local communities, which is the primary focus of this data collectio</w:t>
      </w:r>
      <w:r>
        <w:rPr>
          <w:color w:val="000000"/>
        </w:rPr>
        <w:t>n effort.</w:t>
      </w:r>
    </w:p>
    <w:p w:rsidR="00897424" w14:paraId="00000024" w14:textId="77777777">
      <w:pPr>
        <w:pBdr>
          <w:top w:val="nil"/>
          <w:left w:val="nil"/>
          <w:bottom w:val="nil"/>
          <w:right w:val="nil"/>
          <w:between w:val="nil"/>
        </w:pBdr>
        <w:tabs>
          <w:tab w:val="left" w:pos="360"/>
        </w:tabs>
        <w:spacing w:before="80"/>
        <w:rPr>
          <w:color w:val="000000"/>
        </w:rPr>
      </w:pPr>
      <w:r>
        <w:rPr>
          <w:color w:val="000000"/>
        </w:rPr>
        <w:t xml:space="preserve">           </w:t>
      </w:r>
    </w:p>
    <w:p w:rsidR="00897424" w14:paraId="00000025" w14:textId="77777777">
      <w:pPr>
        <w:numPr>
          <w:ilvl w:val="0"/>
          <w:numId w:val="3"/>
        </w:numPr>
        <w:pBdr>
          <w:top w:val="nil"/>
          <w:left w:val="nil"/>
          <w:bottom w:val="nil"/>
          <w:right w:val="nil"/>
          <w:between w:val="nil"/>
        </w:pBdr>
        <w:tabs>
          <w:tab w:val="left" w:pos="360"/>
        </w:tabs>
        <w:spacing w:before="80"/>
        <w:rPr>
          <w:b/>
          <w:color w:val="000000"/>
        </w:rPr>
      </w:pPr>
      <w:r>
        <w:rPr>
          <w:b/>
          <w:color w:val="000000"/>
        </w:rPr>
        <w:t>If the collection of information impacts small businesses or other small entities, describe any methods used to minimize burden.</w:t>
      </w:r>
    </w:p>
    <w:p w:rsidR="00897424" w14:paraId="00000026" w14:textId="77777777">
      <w:pPr>
        <w:pBdr>
          <w:top w:val="nil"/>
          <w:left w:val="nil"/>
          <w:bottom w:val="nil"/>
          <w:right w:val="nil"/>
          <w:between w:val="nil"/>
        </w:pBdr>
        <w:tabs>
          <w:tab w:val="left" w:pos="360"/>
        </w:tabs>
        <w:spacing w:before="80"/>
        <w:rPr>
          <w:color w:val="000000"/>
        </w:rPr>
      </w:pPr>
      <w:r>
        <w:rPr>
          <w:color w:val="000000"/>
        </w:rPr>
        <w:t xml:space="preserve">For the semi-structured interviews, we anticipate speaking with leaders in FCBOs that may be considered small entities.  They will be approached via email, and the interviews will only be scheduled based on their willingness and availability to reduce the </w:t>
      </w:r>
      <w:r>
        <w:rPr>
          <w:color w:val="000000"/>
        </w:rPr>
        <w:t xml:space="preserve">burden on the participant. </w:t>
      </w:r>
    </w:p>
    <w:p w:rsidR="00897424" w14:paraId="00000027" w14:textId="77777777">
      <w:pPr>
        <w:pBdr>
          <w:top w:val="nil"/>
          <w:left w:val="nil"/>
          <w:bottom w:val="nil"/>
          <w:right w:val="nil"/>
          <w:between w:val="nil"/>
        </w:pBdr>
        <w:tabs>
          <w:tab w:val="left" w:pos="360"/>
        </w:tabs>
        <w:spacing w:before="80"/>
        <w:rPr>
          <w:color w:val="000000"/>
        </w:rPr>
      </w:pPr>
    </w:p>
    <w:p w:rsidR="00897424" w14:paraId="00000028" w14:textId="77777777">
      <w:pPr>
        <w:pBdr>
          <w:top w:val="nil"/>
          <w:left w:val="nil"/>
          <w:bottom w:val="nil"/>
          <w:right w:val="nil"/>
          <w:between w:val="nil"/>
        </w:pBdr>
        <w:tabs>
          <w:tab w:val="left" w:pos="360"/>
        </w:tabs>
        <w:spacing w:before="80"/>
      </w:pPr>
      <w:r>
        <w:rPr>
          <w:color w:val="000000"/>
        </w:rPr>
        <w:t xml:space="preserve">The survey will be provided electronically with participation being completely voluntary.  Reminders will be sent to encourage completeness, but will not be overly burdensome. The intercept survey will be completely voluntary, </w:t>
      </w:r>
      <w:r>
        <w:rPr>
          <w:color w:val="000000"/>
        </w:rPr>
        <w:t>meeting residents and small businesses at events they have decided to attend regardless of the survey.</w:t>
      </w:r>
    </w:p>
    <w:p w:rsidR="00897424" w14:paraId="00000029" w14:textId="77777777">
      <w:pPr>
        <w:pBdr>
          <w:top w:val="nil"/>
          <w:left w:val="nil"/>
          <w:bottom w:val="nil"/>
          <w:right w:val="nil"/>
          <w:between w:val="nil"/>
        </w:pBdr>
        <w:tabs>
          <w:tab w:val="left" w:pos="360"/>
        </w:tabs>
        <w:spacing w:before="80"/>
      </w:pPr>
    </w:p>
    <w:p w:rsidR="00897424" w14:paraId="0000002A" w14:textId="77777777">
      <w:pPr>
        <w:numPr>
          <w:ilvl w:val="0"/>
          <w:numId w:val="3"/>
        </w:numPr>
        <w:pBdr>
          <w:top w:val="nil"/>
          <w:left w:val="nil"/>
          <w:bottom w:val="nil"/>
          <w:right w:val="nil"/>
          <w:between w:val="nil"/>
        </w:pBdr>
        <w:tabs>
          <w:tab w:val="left" w:pos="360"/>
        </w:tabs>
        <w:spacing w:before="80"/>
        <w:rPr>
          <w:b/>
          <w:color w:val="000000"/>
        </w:rPr>
      </w:pPr>
      <w:r>
        <w:rPr>
          <w:b/>
          <w:color w:val="000000"/>
        </w:rPr>
        <w:t>Describe the consequence to Federal program or policy activities if the collection is not conducted or is conducted less frequently, as well as any tech</w:t>
      </w:r>
      <w:r>
        <w:rPr>
          <w:b/>
          <w:color w:val="000000"/>
        </w:rPr>
        <w:t>nical or legal obstacles to reducing burden.</w:t>
      </w:r>
    </w:p>
    <w:p w:rsidR="00897424" w14:paraId="0000002B" w14:textId="77777777">
      <w:pPr>
        <w:pBdr>
          <w:top w:val="nil"/>
          <w:left w:val="nil"/>
          <w:bottom w:val="nil"/>
          <w:right w:val="nil"/>
          <w:between w:val="nil"/>
        </w:pBdr>
        <w:spacing w:before="115"/>
      </w:pPr>
      <w:r>
        <w:t>If this data collection is not approved, it will impact the NWS’s ability to fulfill its strategic goal of providing equitable services to all communities. The SNA maps will serve as a foundation to understandin</w:t>
      </w:r>
      <w:r>
        <w:t>g the communities NWS serves and how best to reach and distribute the messages and alerts needed to save lives, protect property, and safeguard the economy. Additionally, the data for this project will feed into the development of an ABM to demonstrate, de</w:t>
      </w:r>
      <w:r>
        <w:t xml:space="preserve">scribe, and potentially anticipate evacuation and mobility </w:t>
      </w:r>
      <w:r>
        <w:rPr>
          <w:color w:val="000000"/>
        </w:rPr>
        <w:t xml:space="preserve">behaviors within a prescribed system for inland flooding events.  This was the primary data source for the development of the ABM, and without this data collection it will significantly hinder the </w:t>
      </w:r>
      <w:r>
        <w:rPr>
          <w:color w:val="000000"/>
        </w:rPr>
        <w:t>development of this model.</w:t>
      </w:r>
    </w:p>
    <w:p w:rsidR="00897424" w14:paraId="0000002C" w14:textId="77777777">
      <w:pPr>
        <w:pBdr>
          <w:top w:val="nil"/>
          <w:left w:val="nil"/>
          <w:bottom w:val="nil"/>
          <w:right w:val="nil"/>
          <w:between w:val="nil"/>
        </w:pBdr>
        <w:spacing w:before="115"/>
      </w:pPr>
    </w:p>
    <w:p w:rsidR="00897424" w14:paraId="0000002D" w14:textId="77777777">
      <w:pPr>
        <w:numPr>
          <w:ilvl w:val="0"/>
          <w:numId w:val="3"/>
        </w:numPr>
        <w:pBdr>
          <w:top w:val="nil"/>
          <w:left w:val="nil"/>
          <w:bottom w:val="nil"/>
          <w:right w:val="nil"/>
          <w:between w:val="nil"/>
        </w:pBdr>
        <w:tabs>
          <w:tab w:val="left" w:pos="360"/>
        </w:tabs>
        <w:spacing w:before="80"/>
        <w:rPr>
          <w:b/>
          <w:color w:val="000000"/>
        </w:rPr>
      </w:pPr>
      <w:r>
        <w:rPr>
          <w:b/>
          <w:color w:val="000000"/>
        </w:rPr>
        <w:t>Explain any special circumstances that would cause an information collection to be conducted in a manner inconsistent with OMB guidelines.</w:t>
      </w:r>
    </w:p>
    <w:p w:rsidR="00897424" w14:paraId="0000002E" w14:textId="77777777">
      <w:pPr>
        <w:pBdr>
          <w:top w:val="nil"/>
          <w:left w:val="nil"/>
          <w:bottom w:val="nil"/>
          <w:right w:val="nil"/>
          <w:between w:val="nil"/>
        </w:pBdr>
        <w:tabs>
          <w:tab w:val="left" w:pos="360"/>
        </w:tabs>
        <w:spacing w:before="80"/>
        <w:rPr>
          <w:color w:val="000000"/>
        </w:rPr>
      </w:pPr>
    </w:p>
    <w:p w:rsidR="00897424" w14:paraId="0000002F" w14:textId="77777777">
      <w:pPr>
        <w:pBdr>
          <w:top w:val="nil"/>
          <w:left w:val="nil"/>
          <w:bottom w:val="nil"/>
          <w:right w:val="nil"/>
          <w:between w:val="nil"/>
        </w:pBdr>
        <w:tabs>
          <w:tab w:val="left" w:pos="360"/>
        </w:tabs>
        <w:spacing w:before="80"/>
        <w:rPr>
          <w:color w:val="000000"/>
        </w:rPr>
      </w:pPr>
      <w:r>
        <w:rPr>
          <w:color w:val="000000"/>
        </w:rPr>
        <w:t>This information will be conducted in a manner consistent with OMB guidelines.</w:t>
      </w:r>
    </w:p>
    <w:p w:rsidR="00897424" w14:paraId="00000030" w14:textId="77777777">
      <w:pPr>
        <w:pBdr>
          <w:top w:val="nil"/>
          <w:left w:val="nil"/>
          <w:bottom w:val="nil"/>
          <w:right w:val="nil"/>
          <w:between w:val="nil"/>
        </w:pBdr>
        <w:spacing w:before="80"/>
        <w:rPr>
          <w:color w:val="000000"/>
        </w:rPr>
      </w:pPr>
    </w:p>
    <w:p w:rsidR="00897424" w14:paraId="00000031" w14:textId="77777777">
      <w:pPr>
        <w:numPr>
          <w:ilvl w:val="0"/>
          <w:numId w:val="3"/>
        </w:numPr>
        <w:pBdr>
          <w:top w:val="nil"/>
          <w:left w:val="nil"/>
          <w:bottom w:val="nil"/>
          <w:right w:val="nil"/>
          <w:between w:val="nil"/>
        </w:pBdr>
        <w:tabs>
          <w:tab w:val="left" w:pos="360"/>
        </w:tabs>
        <w:spacing w:before="80"/>
        <w:rPr>
          <w:b/>
          <w:color w:val="000000"/>
        </w:rPr>
      </w:pPr>
      <w:r>
        <w:rPr>
          <w:b/>
          <w:color w:val="000000"/>
        </w:rPr>
        <w:t xml:space="preserve">If applicable, provide a copy and identify the date and page number of publications in the Federal Register of the agency's notice, required by 5 CFR 1320.8 (d), soliciting comments </w:t>
      </w:r>
      <w:r>
        <w:rPr>
          <w:b/>
          <w:color w:val="000000"/>
        </w:rPr>
        <w:t>on the information collection prior to submission to OMB. Summarize public</w:t>
      </w:r>
      <w:r>
        <w:rPr>
          <w:b/>
          <w:color w:val="000000"/>
        </w:rPr>
        <w:t xml:space="preserve"> comments received in response to that notice and describe actions taken by the agency in response to these comments. Specifically address comments received on cost and hour burden.</w:t>
      </w:r>
    </w:p>
    <w:p w:rsidR="00897424" w14:paraId="00000032" w14:textId="77777777">
      <w:pPr>
        <w:pBdr>
          <w:top w:val="nil"/>
          <w:left w:val="nil"/>
          <w:bottom w:val="nil"/>
          <w:right w:val="nil"/>
          <w:between w:val="nil"/>
        </w:pBdr>
        <w:spacing w:before="159"/>
      </w:pPr>
      <w:r>
        <w:t>The 60-day Federal Register Notice that solicited public comment on this r</w:t>
      </w:r>
      <w:r>
        <w:t>equest was published on November 24, 2023 (Document Number 2023-25977). No comments were received.</w:t>
      </w:r>
    </w:p>
    <w:p w:rsidR="00897424" w14:paraId="00000033" w14:textId="77777777">
      <w:pPr>
        <w:pBdr>
          <w:top w:val="nil"/>
          <w:left w:val="nil"/>
          <w:bottom w:val="nil"/>
          <w:right w:val="nil"/>
          <w:between w:val="nil"/>
        </w:pBdr>
        <w:spacing w:before="159"/>
        <w:rPr>
          <w:color w:val="000000"/>
        </w:rPr>
      </w:pPr>
    </w:p>
    <w:p w:rsidR="00897424" w14:paraId="00000034" w14:textId="77777777">
      <w:pPr>
        <w:numPr>
          <w:ilvl w:val="0"/>
          <w:numId w:val="3"/>
        </w:numPr>
        <w:pBdr>
          <w:top w:val="nil"/>
          <w:left w:val="nil"/>
          <w:bottom w:val="nil"/>
          <w:right w:val="nil"/>
          <w:between w:val="nil"/>
        </w:pBdr>
        <w:tabs>
          <w:tab w:val="left" w:pos="360"/>
        </w:tabs>
        <w:spacing w:before="80"/>
        <w:rPr>
          <w:b/>
          <w:color w:val="000000"/>
        </w:rPr>
      </w:pPr>
      <w:r>
        <w:rPr>
          <w:b/>
          <w:color w:val="000000"/>
        </w:rPr>
        <w:t>Explain any decision to provide any payment or gift to respondents, other than remuneration of contractors or grantees.</w:t>
      </w:r>
    </w:p>
    <w:p w:rsidR="00897424" w14:paraId="00000035" w14:textId="77777777">
      <w:pPr>
        <w:pBdr>
          <w:top w:val="nil"/>
          <w:left w:val="nil"/>
          <w:bottom w:val="nil"/>
          <w:right w:val="nil"/>
          <w:between w:val="nil"/>
        </w:pBdr>
        <w:tabs>
          <w:tab w:val="left" w:pos="360"/>
        </w:tabs>
        <w:spacing w:before="80"/>
      </w:pPr>
      <w:r>
        <w:t>The initial fielding of the survey w</w:t>
      </w:r>
      <w:r>
        <w:t>ill not include an incentive. However, the contractor may decide to offer an incentive if response rates are low.</w:t>
      </w:r>
    </w:p>
    <w:p w:rsidR="00897424" w14:paraId="00000036" w14:textId="77777777">
      <w:pPr>
        <w:pBdr>
          <w:top w:val="nil"/>
          <w:left w:val="nil"/>
          <w:bottom w:val="nil"/>
          <w:right w:val="nil"/>
          <w:between w:val="nil"/>
        </w:pBdr>
        <w:tabs>
          <w:tab w:val="left" w:pos="360"/>
        </w:tabs>
        <w:spacing w:before="80"/>
      </w:pPr>
    </w:p>
    <w:p w:rsidR="00897424" w14:paraId="00000037" w14:textId="77777777">
      <w:pPr>
        <w:numPr>
          <w:ilvl w:val="0"/>
          <w:numId w:val="3"/>
        </w:numPr>
        <w:pBdr>
          <w:top w:val="nil"/>
          <w:left w:val="nil"/>
          <w:bottom w:val="nil"/>
          <w:right w:val="nil"/>
          <w:between w:val="nil"/>
        </w:pBdr>
        <w:tabs>
          <w:tab w:val="left" w:pos="360"/>
        </w:tabs>
        <w:spacing w:before="80"/>
        <w:rPr>
          <w:b/>
          <w:color w:val="000000"/>
        </w:rPr>
      </w:pPr>
      <w:r>
        <w:rPr>
          <w:b/>
          <w:color w:val="000000"/>
        </w:rPr>
        <w:t>Describe any assurance of confidentiality provided to respondents and the basis for the assurance in statute, regulation, or agency policy. If the collection requires a systems of records notice (SORN) or privacy impact assessment (PIA), those should be ci</w:t>
      </w:r>
      <w:r>
        <w:rPr>
          <w:b/>
          <w:color w:val="000000"/>
        </w:rPr>
        <w:t>ted and described here.</w:t>
      </w:r>
    </w:p>
    <w:p w:rsidR="00897424" w14:paraId="00000038" w14:textId="77777777">
      <w:pPr>
        <w:pBdr>
          <w:top w:val="nil"/>
          <w:left w:val="nil"/>
          <w:bottom w:val="nil"/>
          <w:right w:val="nil"/>
          <w:between w:val="nil"/>
        </w:pBdr>
        <w:spacing w:before="158"/>
      </w:pPr>
      <w:r>
        <w:t xml:space="preserve">For each of the interviews conducted, the participant will be asked to sign an informed consent form explaining the nature of the research and that responses will be presented anonymously.  </w:t>
      </w:r>
    </w:p>
    <w:p w:rsidR="00897424" w14:paraId="00000039" w14:textId="77777777">
      <w:pPr>
        <w:pBdr>
          <w:top w:val="nil"/>
          <w:left w:val="nil"/>
          <w:bottom w:val="nil"/>
          <w:right w:val="nil"/>
          <w:between w:val="nil"/>
        </w:pBdr>
        <w:spacing w:before="158"/>
      </w:pPr>
      <w:r>
        <w:t>No PII will be collected from the survey.</w:t>
      </w:r>
      <w:r>
        <w:t xml:space="preserve">  </w:t>
      </w:r>
    </w:p>
    <w:p w:rsidR="00897424" w14:paraId="0000003A" w14:textId="77777777">
      <w:pPr>
        <w:pBdr>
          <w:top w:val="nil"/>
          <w:left w:val="nil"/>
          <w:bottom w:val="nil"/>
          <w:right w:val="nil"/>
          <w:between w:val="nil"/>
        </w:pBdr>
        <w:spacing w:before="158"/>
      </w:pPr>
      <w:r>
        <w:t>All findings from this mixed methods approach will be presented in aggregate.</w:t>
      </w:r>
    </w:p>
    <w:p w:rsidR="00897424" w14:paraId="0000003B" w14:textId="77777777">
      <w:pPr>
        <w:pBdr>
          <w:top w:val="nil"/>
          <w:left w:val="nil"/>
          <w:bottom w:val="nil"/>
          <w:right w:val="nil"/>
          <w:between w:val="nil"/>
        </w:pBdr>
        <w:spacing w:before="158"/>
      </w:pPr>
    </w:p>
    <w:p w:rsidR="00897424" w14:paraId="0000003C" w14:textId="77777777">
      <w:pPr>
        <w:numPr>
          <w:ilvl w:val="0"/>
          <w:numId w:val="3"/>
        </w:numPr>
        <w:pBdr>
          <w:top w:val="nil"/>
          <w:left w:val="nil"/>
          <w:bottom w:val="nil"/>
          <w:right w:val="nil"/>
          <w:between w:val="nil"/>
        </w:pBdr>
        <w:tabs>
          <w:tab w:val="left" w:pos="360"/>
        </w:tabs>
        <w:spacing w:before="80"/>
        <w:rPr>
          <w:b/>
          <w:color w:val="000000"/>
        </w:rPr>
      </w:pPr>
      <w:r>
        <w:rPr>
          <w:b/>
          <w:color w:val="000000"/>
        </w:rPr>
        <w:t>Provide additional justification for any questions of a sensitive nature, such as sexual behavior or attitudes, religious beliefs, and other matters that are commonly considered private. This justification should include the reasons why the agency consider</w:t>
      </w:r>
      <w:r>
        <w:rPr>
          <w:b/>
          <w:color w:val="000000"/>
        </w:rPr>
        <w:t>s the questions necessary, the specific uses to be made of the information, the explanation to be given to persons from whom the information is requested, and any steps to be taken to obtain their consent.</w:t>
      </w:r>
    </w:p>
    <w:p w:rsidR="00897424" w14:paraId="0000003D" w14:textId="77777777">
      <w:pPr>
        <w:pBdr>
          <w:top w:val="nil"/>
          <w:left w:val="nil"/>
          <w:bottom w:val="nil"/>
          <w:right w:val="nil"/>
          <w:between w:val="nil"/>
        </w:pBdr>
        <w:tabs>
          <w:tab w:val="left" w:pos="360"/>
        </w:tabs>
        <w:spacing w:before="80"/>
        <w:rPr>
          <w:b/>
          <w:color w:val="000000"/>
        </w:rPr>
      </w:pPr>
    </w:p>
    <w:p w:rsidR="00897424" w14:paraId="0000003E" w14:textId="77777777">
      <w:pPr>
        <w:pBdr>
          <w:top w:val="nil"/>
          <w:left w:val="nil"/>
          <w:bottom w:val="nil"/>
          <w:right w:val="nil"/>
          <w:between w:val="nil"/>
        </w:pBdr>
        <w:tabs>
          <w:tab w:val="left" w:pos="360"/>
        </w:tabs>
        <w:spacing w:before="80"/>
        <w:rPr>
          <w:color w:val="2F5496"/>
        </w:rPr>
      </w:pPr>
      <w:r>
        <w:rPr>
          <w:color w:val="000000"/>
        </w:rPr>
        <w:t xml:space="preserve">No sensitive questions, as prescribed in the PRA </w:t>
      </w:r>
      <w:r>
        <w:rPr>
          <w:color w:val="000000"/>
        </w:rPr>
        <w:t xml:space="preserve">guidelines, will be included in this study’s data collection. </w:t>
      </w:r>
    </w:p>
    <w:p w:rsidR="001A5F04" w14:paraId="29E81D75" w14:textId="77777777">
      <w:pPr>
        <w:pBdr>
          <w:top w:val="nil"/>
          <w:left w:val="nil"/>
          <w:bottom w:val="nil"/>
          <w:right w:val="nil"/>
          <w:between w:val="nil"/>
        </w:pBdr>
        <w:tabs>
          <w:tab w:val="left" w:pos="360"/>
        </w:tabs>
        <w:spacing w:before="80"/>
        <w:rPr>
          <w:color w:val="2F5496"/>
        </w:rPr>
        <w:sectPr>
          <w:footerReference w:type="default" r:id="rId6"/>
          <w:pgSz w:w="12240" w:h="15840"/>
          <w:pgMar w:top="640" w:right="1080" w:bottom="1200" w:left="1080" w:header="0" w:footer="714" w:gutter="0"/>
          <w:pgNumType w:start="1"/>
          <w:cols w:space="720"/>
        </w:sectPr>
      </w:pPr>
    </w:p>
    <w:p w:rsidR="00897424" w14:paraId="0000003F" w14:textId="6FAF0F3A">
      <w:pPr>
        <w:pBdr>
          <w:top w:val="nil"/>
          <w:left w:val="nil"/>
          <w:bottom w:val="nil"/>
          <w:right w:val="nil"/>
          <w:between w:val="nil"/>
        </w:pBdr>
        <w:tabs>
          <w:tab w:val="left" w:pos="360"/>
        </w:tabs>
        <w:spacing w:before="80"/>
        <w:rPr>
          <w:color w:val="2F5496"/>
        </w:rPr>
      </w:pPr>
    </w:p>
    <w:p w:rsidR="00897424" w14:paraId="00000040" w14:textId="77777777">
      <w:pPr>
        <w:numPr>
          <w:ilvl w:val="0"/>
          <w:numId w:val="3"/>
        </w:numPr>
        <w:pBdr>
          <w:top w:val="nil"/>
          <w:left w:val="nil"/>
          <w:bottom w:val="nil"/>
          <w:right w:val="nil"/>
          <w:between w:val="nil"/>
        </w:pBdr>
        <w:tabs>
          <w:tab w:val="left" w:pos="360"/>
        </w:tabs>
        <w:spacing w:before="80"/>
        <w:rPr>
          <w:b/>
          <w:color w:val="000000"/>
        </w:rPr>
      </w:pPr>
      <w:r>
        <w:rPr>
          <w:b/>
          <w:color w:val="000000"/>
        </w:rPr>
        <w:t>Provide estimates of the hour burden of the collection of information.</w:t>
      </w:r>
    </w:p>
    <w:p w:rsidR="00897424" w14:paraId="00000043" w14:textId="77777777">
      <w:pPr>
        <w:spacing w:line="259" w:lineRule="auto"/>
        <w:ind w:hanging="43"/>
        <w:jc w:val="center"/>
        <w:rPr>
          <w:b/>
          <w:color w:val="FF0000"/>
        </w:rPr>
      </w:pPr>
    </w:p>
    <w:tbl>
      <w:tblPr>
        <w:tblStyle w:val="a6"/>
        <w:tblW w:w="14420" w:type="dxa"/>
        <w:tblInd w:w="-25" w:type="dxa"/>
        <w:tblLayout w:type="fixed"/>
        <w:tblLook w:val="0400"/>
      </w:tblPr>
      <w:tblGrid>
        <w:gridCol w:w="1985"/>
        <w:gridCol w:w="2010"/>
        <w:gridCol w:w="1335"/>
        <w:gridCol w:w="1345"/>
        <w:gridCol w:w="1260"/>
        <w:gridCol w:w="1170"/>
        <w:gridCol w:w="1350"/>
        <w:gridCol w:w="1710"/>
        <w:gridCol w:w="2255"/>
      </w:tblGrid>
      <w:tr w14:paraId="56C99C55" w14:textId="77777777" w:rsidTr="001A5F04">
        <w:tblPrEx>
          <w:tblW w:w="14420" w:type="dxa"/>
          <w:tblInd w:w="-25" w:type="dxa"/>
          <w:tblLayout w:type="fixed"/>
          <w:tblLook w:val="0400"/>
        </w:tblPrEx>
        <w:trPr>
          <w:trHeight w:val="1365"/>
        </w:trPr>
        <w:tc>
          <w:tcPr>
            <w:tcW w:w="1985" w:type="dxa"/>
            <w:tcBorders>
              <w:top w:val="single" w:sz="8" w:space="0" w:color="000000"/>
              <w:left w:val="single" w:sz="8" w:space="0" w:color="000000"/>
              <w:bottom w:val="single" w:sz="8" w:space="0" w:color="000000"/>
              <w:right w:val="single" w:sz="8" w:space="0" w:color="000000"/>
            </w:tcBorders>
            <w:shd w:val="clear" w:color="auto" w:fill="BDD7EE"/>
            <w:vAlign w:val="center"/>
          </w:tcPr>
          <w:p w:rsidR="00897424" w14:paraId="00000044"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Information Collection</w:t>
            </w:r>
          </w:p>
        </w:tc>
        <w:tc>
          <w:tcPr>
            <w:tcW w:w="2010" w:type="dxa"/>
            <w:tcBorders>
              <w:top w:val="single" w:sz="8" w:space="0" w:color="000000"/>
              <w:left w:val="nil"/>
              <w:bottom w:val="single" w:sz="8" w:space="0" w:color="000000"/>
              <w:right w:val="single" w:sz="8" w:space="0" w:color="000000"/>
            </w:tcBorders>
            <w:shd w:val="clear" w:color="auto" w:fill="BDD7EE"/>
            <w:vAlign w:val="center"/>
          </w:tcPr>
          <w:p w:rsidR="00897424" w14:paraId="00000045"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Type of Respondent (e.g., Occupational Title)</w:t>
            </w:r>
          </w:p>
        </w:tc>
        <w:tc>
          <w:tcPr>
            <w:tcW w:w="1335" w:type="dxa"/>
            <w:tcBorders>
              <w:top w:val="single" w:sz="8" w:space="0" w:color="000000"/>
              <w:left w:val="nil"/>
              <w:bottom w:val="single" w:sz="8" w:space="0" w:color="000000"/>
              <w:right w:val="single" w:sz="8" w:space="0" w:color="000000"/>
            </w:tcBorders>
            <w:shd w:val="clear" w:color="auto" w:fill="BDD7EE"/>
            <w:vAlign w:val="center"/>
          </w:tcPr>
          <w:p w:rsidR="00897424" w14:paraId="00000046"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 of Respondents/year</w:t>
            </w:r>
            <w:r>
              <w:rPr>
                <w:rFonts w:ascii="Calibri" w:eastAsia="Calibri" w:hAnsi="Calibri" w:cs="Calibri"/>
                <w:b/>
                <w:color w:val="000000"/>
                <w:sz w:val="16"/>
                <w:szCs w:val="16"/>
              </w:rPr>
              <w:br/>
              <w:t>(a)</w:t>
            </w:r>
          </w:p>
        </w:tc>
        <w:tc>
          <w:tcPr>
            <w:tcW w:w="1345" w:type="dxa"/>
            <w:tcBorders>
              <w:top w:val="single" w:sz="8" w:space="0" w:color="000000"/>
              <w:left w:val="nil"/>
              <w:bottom w:val="single" w:sz="8" w:space="0" w:color="000000"/>
              <w:right w:val="single" w:sz="8" w:space="0" w:color="000000"/>
            </w:tcBorders>
            <w:shd w:val="clear" w:color="auto" w:fill="BDD7EE"/>
            <w:vAlign w:val="center"/>
          </w:tcPr>
          <w:p w:rsidR="00897424" w14:paraId="00000047"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Annual # of Responses / Respondent</w:t>
            </w:r>
            <w:r>
              <w:rPr>
                <w:rFonts w:ascii="Calibri" w:eastAsia="Calibri" w:hAnsi="Calibri" w:cs="Calibri"/>
                <w:b/>
                <w:color w:val="000000"/>
                <w:sz w:val="16"/>
                <w:szCs w:val="16"/>
              </w:rPr>
              <w:br/>
              <w:t>(b)</w:t>
            </w:r>
          </w:p>
        </w:tc>
        <w:tc>
          <w:tcPr>
            <w:tcW w:w="1260" w:type="dxa"/>
            <w:tcBorders>
              <w:top w:val="single" w:sz="8" w:space="0" w:color="000000"/>
              <w:left w:val="nil"/>
              <w:bottom w:val="single" w:sz="8" w:space="0" w:color="000000"/>
              <w:right w:val="single" w:sz="8" w:space="0" w:color="000000"/>
            </w:tcBorders>
            <w:shd w:val="clear" w:color="auto" w:fill="BDD7EE"/>
            <w:vAlign w:val="center"/>
          </w:tcPr>
          <w:p w:rsidR="00897424" w14:paraId="00000048"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 xml:space="preserve"> Total # of Annual Responses</w:t>
            </w:r>
            <w:r>
              <w:rPr>
                <w:rFonts w:ascii="Calibri" w:eastAsia="Calibri" w:hAnsi="Calibri" w:cs="Calibri"/>
                <w:b/>
                <w:color w:val="000000"/>
                <w:sz w:val="16"/>
                <w:szCs w:val="16"/>
              </w:rPr>
              <w:br/>
              <w:t>(c) = (a) x (b)</w:t>
            </w:r>
          </w:p>
        </w:tc>
        <w:tc>
          <w:tcPr>
            <w:tcW w:w="1170" w:type="dxa"/>
            <w:tcBorders>
              <w:top w:val="single" w:sz="8" w:space="0" w:color="000000"/>
              <w:left w:val="nil"/>
              <w:bottom w:val="single" w:sz="8" w:space="0" w:color="000000"/>
              <w:right w:val="single" w:sz="8" w:space="0" w:color="000000"/>
            </w:tcBorders>
            <w:shd w:val="clear" w:color="auto" w:fill="BDD7EE"/>
            <w:vAlign w:val="center"/>
          </w:tcPr>
          <w:p w:rsidR="00897424" w14:paraId="00000049"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 xml:space="preserve">Burden </w:t>
            </w:r>
            <w:r>
              <w:rPr>
                <w:rFonts w:ascii="Calibri" w:eastAsia="Calibri" w:hAnsi="Calibri" w:cs="Calibri"/>
                <w:b/>
                <w:color w:val="000000"/>
                <w:sz w:val="16"/>
                <w:szCs w:val="16"/>
              </w:rPr>
              <w:t>Hrs</w:t>
            </w:r>
            <w:r>
              <w:rPr>
                <w:rFonts w:ascii="Calibri" w:eastAsia="Calibri" w:hAnsi="Calibri" w:cs="Calibri"/>
                <w:b/>
                <w:color w:val="000000"/>
                <w:sz w:val="16"/>
                <w:szCs w:val="16"/>
              </w:rPr>
              <w:t xml:space="preserve"> / Response</w:t>
            </w:r>
            <w:r>
              <w:rPr>
                <w:rFonts w:ascii="Calibri" w:eastAsia="Calibri" w:hAnsi="Calibri" w:cs="Calibri"/>
                <w:b/>
                <w:color w:val="000000"/>
                <w:sz w:val="16"/>
                <w:szCs w:val="16"/>
              </w:rPr>
              <w:br/>
              <w:t>(d)</w:t>
            </w:r>
          </w:p>
        </w:tc>
        <w:tc>
          <w:tcPr>
            <w:tcW w:w="1350" w:type="dxa"/>
            <w:tcBorders>
              <w:top w:val="single" w:sz="8" w:space="0" w:color="000000"/>
              <w:left w:val="nil"/>
              <w:bottom w:val="single" w:sz="8" w:space="0" w:color="000000"/>
              <w:right w:val="single" w:sz="8" w:space="0" w:color="000000"/>
            </w:tcBorders>
            <w:shd w:val="clear" w:color="auto" w:fill="BDD7EE"/>
            <w:vAlign w:val="center"/>
          </w:tcPr>
          <w:p w:rsidR="00897424" w14:paraId="0000004A"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 xml:space="preserve">Total Annual Burden </w:t>
            </w:r>
            <w:r>
              <w:rPr>
                <w:rFonts w:ascii="Calibri" w:eastAsia="Calibri" w:hAnsi="Calibri" w:cs="Calibri"/>
                <w:b/>
                <w:color w:val="000000"/>
                <w:sz w:val="16"/>
                <w:szCs w:val="16"/>
              </w:rPr>
              <w:t>Hrs</w:t>
            </w:r>
            <w:r>
              <w:rPr>
                <w:rFonts w:ascii="Calibri" w:eastAsia="Calibri" w:hAnsi="Calibri" w:cs="Calibri"/>
                <w:b/>
                <w:color w:val="000000"/>
                <w:sz w:val="16"/>
                <w:szCs w:val="16"/>
              </w:rPr>
              <w:br/>
              <w:t>(</w:t>
            </w:r>
            <w:r>
              <w:rPr>
                <w:rFonts w:ascii="Calibri" w:eastAsia="Calibri" w:hAnsi="Calibri" w:cs="Calibri"/>
                <w:b/>
                <w:color w:val="000000"/>
                <w:sz w:val="16"/>
                <w:szCs w:val="16"/>
              </w:rPr>
              <w:t>e)  =</w:t>
            </w:r>
            <w:r>
              <w:rPr>
                <w:rFonts w:ascii="Calibri" w:eastAsia="Calibri" w:hAnsi="Calibri" w:cs="Calibri"/>
                <w:b/>
                <w:color w:val="000000"/>
                <w:sz w:val="16"/>
                <w:szCs w:val="16"/>
              </w:rPr>
              <w:t xml:space="preserve"> (c) x (d)</w:t>
            </w:r>
          </w:p>
        </w:tc>
        <w:tc>
          <w:tcPr>
            <w:tcW w:w="1710" w:type="dxa"/>
            <w:tcBorders>
              <w:top w:val="single" w:sz="8" w:space="0" w:color="000000"/>
              <w:left w:val="nil"/>
              <w:bottom w:val="single" w:sz="8" w:space="0" w:color="000000"/>
              <w:right w:val="single" w:sz="8" w:space="0" w:color="000000"/>
            </w:tcBorders>
            <w:shd w:val="clear" w:color="auto" w:fill="BDD7EE"/>
            <w:vAlign w:val="center"/>
          </w:tcPr>
          <w:p w:rsidR="00897424" w14:paraId="0000004B" w14:textId="77777777">
            <w:pPr>
              <w:widowControl/>
              <w:jc w:val="center"/>
              <w:rPr>
                <w:rFonts w:ascii="Calibri" w:eastAsia="Calibri" w:hAnsi="Calibri" w:cs="Calibri"/>
                <w:b/>
                <w:color w:val="000000"/>
                <w:sz w:val="16"/>
                <w:szCs w:val="16"/>
              </w:rPr>
            </w:pPr>
            <w:r>
              <w:rPr>
                <w:rFonts w:ascii="Calibri" w:eastAsia="Calibri" w:hAnsi="Calibri" w:cs="Calibri"/>
                <w:b/>
                <w:color w:val="000000"/>
                <w:sz w:val="16"/>
                <w:szCs w:val="16"/>
              </w:rPr>
              <w:t xml:space="preserve">Hourly Wage </w:t>
            </w:r>
            <w:r>
              <w:rPr>
                <w:rFonts w:ascii="Calibri" w:eastAsia="Calibri" w:hAnsi="Calibri" w:cs="Calibri"/>
                <w:b/>
                <w:color w:val="000000"/>
                <w:sz w:val="16"/>
                <w:szCs w:val="16"/>
              </w:rPr>
              <w:t>Rate  (</w:t>
            </w:r>
            <w:r>
              <w:rPr>
                <w:rFonts w:ascii="Calibri" w:eastAsia="Calibri" w:hAnsi="Calibri" w:cs="Calibri"/>
                <w:b/>
                <w:color w:val="000000"/>
                <w:sz w:val="16"/>
                <w:szCs w:val="16"/>
              </w:rPr>
              <w:t>for Type of Respondent)</w:t>
            </w:r>
            <w:r>
              <w:rPr>
                <w:rFonts w:ascii="Calibri" w:eastAsia="Calibri" w:hAnsi="Calibri" w:cs="Calibri"/>
                <w:b/>
                <w:color w:val="000000"/>
                <w:sz w:val="16"/>
                <w:szCs w:val="16"/>
              </w:rPr>
              <w:br/>
              <w:t>(f)</w:t>
            </w:r>
          </w:p>
        </w:tc>
        <w:tc>
          <w:tcPr>
            <w:tcW w:w="2255" w:type="dxa"/>
            <w:tcBorders>
              <w:top w:val="single" w:sz="8" w:space="0" w:color="000000"/>
              <w:left w:val="nil"/>
              <w:bottom w:val="single" w:sz="8" w:space="0" w:color="000000"/>
              <w:right w:val="single" w:sz="8" w:space="0" w:color="000000"/>
            </w:tcBorders>
            <w:shd w:val="clear" w:color="auto" w:fill="BDD7EE"/>
            <w:vAlign w:val="center"/>
          </w:tcPr>
          <w:p w:rsidR="00897424" w:rsidP="001A5F04" w14:paraId="0000004C" w14:textId="77777777">
            <w:pPr>
              <w:widowControl/>
              <w:ind w:right="181"/>
              <w:jc w:val="center"/>
              <w:rPr>
                <w:rFonts w:ascii="Calibri" w:eastAsia="Calibri" w:hAnsi="Calibri" w:cs="Calibri"/>
                <w:b/>
                <w:color w:val="000000"/>
                <w:sz w:val="16"/>
                <w:szCs w:val="16"/>
              </w:rPr>
            </w:pPr>
            <w:r>
              <w:rPr>
                <w:rFonts w:ascii="Calibri" w:eastAsia="Calibri" w:hAnsi="Calibri" w:cs="Calibri"/>
                <w:b/>
                <w:color w:val="000000"/>
                <w:sz w:val="16"/>
                <w:szCs w:val="16"/>
              </w:rPr>
              <w:t>Total Annual Wage Burden Costs</w:t>
            </w:r>
            <w:r>
              <w:rPr>
                <w:rFonts w:ascii="Calibri" w:eastAsia="Calibri" w:hAnsi="Calibri" w:cs="Calibri"/>
                <w:b/>
                <w:color w:val="000000"/>
                <w:sz w:val="16"/>
                <w:szCs w:val="16"/>
              </w:rPr>
              <w:br/>
              <w:t>(g) = (e) x (f)</w:t>
            </w:r>
          </w:p>
        </w:tc>
      </w:tr>
      <w:tr w14:paraId="0F7F4D49" w14:textId="77777777" w:rsidTr="001A5F04">
        <w:tblPrEx>
          <w:tblW w:w="14420" w:type="dxa"/>
          <w:tblInd w:w="-25" w:type="dxa"/>
          <w:tblLayout w:type="fixed"/>
          <w:tblLook w:val="0400"/>
        </w:tblPrEx>
        <w:trPr>
          <w:trHeight w:val="300"/>
        </w:trPr>
        <w:tc>
          <w:tcPr>
            <w:tcW w:w="1985" w:type="dxa"/>
            <w:tcBorders>
              <w:top w:val="nil"/>
              <w:left w:val="single" w:sz="8" w:space="0" w:color="000000"/>
              <w:bottom w:val="single" w:sz="4" w:space="0" w:color="000000"/>
              <w:right w:val="single" w:sz="4" w:space="0" w:color="000000"/>
            </w:tcBorders>
            <w:shd w:val="clear" w:color="auto" w:fill="auto"/>
            <w:vAlign w:val="bottom"/>
          </w:tcPr>
          <w:p w:rsidR="00897424" w14:paraId="0000004D"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Interviews</w:t>
            </w:r>
          </w:p>
        </w:tc>
        <w:tc>
          <w:tcPr>
            <w:tcW w:w="2010" w:type="dxa"/>
            <w:tcBorders>
              <w:top w:val="nil"/>
              <w:left w:val="nil"/>
              <w:bottom w:val="single" w:sz="4" w:space="0" w:color="000000"/>
              <w:right w:val="single" w:sz="4" w:space="0" w:color="000000"/>
            </w:tcBorders>
            <w:shd w:val="clear" w:color="auto" w:fill="auto"/>
            <w:vAlign w:val="bottom"/>
          </w:tcPr>
          <w:p w:rsidR="00897424" w14:paraId="0000004E"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FCBOs (Directors, Religious Activities and Education)</w:t>
            </w:r>
          </w:p>
        </w:tc>
        <w:tc>
          <w:tcPr>
            <w:tcW w:w="1335" w:type="dxa"/>
            <w:tcBorders>
              <w:top w:val="nil"/>
              <w:left w:val="nil"/>
              <w:bottom w:val="single" w:sz="4" w:space="0" w:color="000000"/>
              <w:right w:val="single" w:sz="4" w:space="0" w:color="000000"/>
            </w:tcBorders>
            <w:shd w:val="clear" w:color="auto" w:fill="auto"/>
            <w:vAlign w:val="bottom"/>
          </w:tcPr>
          <w:p w:rsidR="00897424" w14:paraId="0000004F" w14:textId="77777777">
            <w:pPr>
              <w:widowControl/>
              <w:jc w:val="center"/>
              <w:rPr>
                <w:rFonts w:ascii="Calibri" w:eastAsia="Calibri" w:hAnsi="Calibri" w:cs="Calibri"/>
                <w:color w:val="000000"/>
                <w:sz w:val="16"/>
                <w:szCs w:val="16"/>
              </w:rPr>
            </w:pPr>
            <w:r>
              <w:rPr>
                <w:rFonts w:ascii="Calibri" w:eastAsia="Calibri" w:hAnsi="Calibri" w:cs="Calibri"/>
                <w:sz w:val="16"/>
                <w:szCs w:val="16"/>
              </w:rPr>
              <w:t>4</w:t>
            </w:r>
            <w:r>
              <w:rPr>
                <w:rFonts w:ascii="Calibri" w:eastAsia="Calibri" w:hAnsi="Calibri" w:cs="Calibri"/>
                <w:color w:val="000000"/>
                <w:sz w:val="16"/>
                <w:szCs w:val="16"/>
              </w:rPr>
              <w:t>0 </w:t>
            </w:r>
          </w:p>
        </w:tc>
        <w:tc>
          <w:tcPr>
            <w:tcW w:w="1345" w:type="dxa"/>
            <w:tcBorders>
              <w:top w:val="nil"/>
              <w:left w:val="nil"/>
              <w:bottom w:val="single" w:sz="4" w:space="0" w:color="000000"/>
              <w:right w:val="single" w:sz="4" w:space="0" w:color="000000"/>
            </w:tcBorders>
            <w:shd w:val="clear" w:color="auto" w:fill="auto"/>
            <w:vAlign w:val="bottom"/>
          </w:tcPr>
          <w:p w:rsidR="00897424" w14:paraId="00000050"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 1</w:t>
            </w:r>
          </w:p>
        </w:tc>
        <w:tc>
          <w:tcPr>
            <w:tcW w:w="1260" w:type="dxa"/>
            <w:tcBorders>
              <w:top w:val="nil"/>
              <w:left w:val="nil"/>
              <w:bottom w:val="single" w:sz="4" w:space="0" w:color="000000"/>
              <w:right w:val="single" w:sz="4" w:space="0" w:color="000000"/>
            </w:tcBorders>
            <w:shd w:val="clear" w:color="auto" w:fill="auto"/>
            <w:vAlign w:val="bottom"/>
          </w:tcPr>
          <w:p w:rsidR="00897424" w14:paraId="00000051" w14:textId="77777777">
            <w:pPr>
              <w:widowControl/>
              <w:jc w:val="center"/>
              <w:rPr>
                <w:rFonts w:ascii="Calibri" w:eastAsia="Calibri" w:hAnsi="Calibri" w:cs="Calibri"/>
                <w:color w:val="000000"/>
                <w:sz w:val="16"/>
                <w:szCs w:val="16"/>
              </w:rPr>
            </w:pPr>
            <w:r>
              <w:rPr>
                <w:rFonts w:ascii="Calibri" w:eastAsia="Calibri" w:hAnsi="Calibri" w:cs="Calibri"/>
                <w:sz w:val="16"/>
                <w:szCs w:val="16"/>
              </w:rPr>
              <w:t>40</w:t>
            </w:r>
            <w:r>
              <w:rPr>
                <w:rFonts w:ascii="Calibri" w:eastAsia="Calibri" w:hAnsi="Calibri" w:cs="Calibri"/>
                <w:color w:val="000000"/>
                <w:sz w:val="16"/>
                <w:szCs w:val="16"/>
              </w:rPr>
              <w:t> </w:t>
            </w:r>
          </w:p>
        </w:tc>
        <w:tc>
          <w:tcPr>
            <w:tcW w:w="1170" w:type="dxa"/>
            <w:tcBorders>
              <w:top w:val="nil"/>
              <w:left w:val="nil"/>
              <w:bottom w:val="single" w:sz="4" w:space="0" w:color="000000"/>
              <w:right w:val="single" w:sz="4" w:space="0" w:color="000000"/>
            </w:tcBorders>
            <w:shd w:val="clear" w:color="auto" w:fill="auto"/>
            <w:vAlign w:val="bottom"/>
          </w:tcPr>
          <w:p w:rsidR="00897424" w14:paraId="00000052" w14:textId="77777777">
            <w:pPr>
              <w:widowControl/>
              <w:jc w:val="center"/>
              <w:rPr>
                <w:rFonts w:ascii="Calibri" w:eastAsia="Calibri" w:hAnsi="Calibri" w:cs="Calibri"/>
                <w:color w:val="000000"/>
                <w:sz w:val="16"/>
                <w:szCs w:val="16"/>
              </w:rPr>
            </w:pPr>
            <w:r>
              <w:rPr>
                <w:rFonts w:ascii="Calibri" w:eastAsia="Calibri" w:hAnsi="Calibri" w:cs="Calibri"/>
                <w:sz w:val="16"/>
                <w:szCs w:val="16"/>
              </w:rPr>
              <w:t>1</w:t>
            </w:r>
            <w:r>
              <w:rPr>
                <w:rFonts w:ascii="Calibri" w:eastAsia="Calibri" w:hAnsi="Calibri" w:cs="Calibri"/>
                <w:color w:val="000000"/>
                <w:sz w:val="16"/>
                <w:szCs w:val="16"/>
              </w:rPr>
              <w:t> </w:t>
            </w:r>
          </w:p>
        </w:tc>
        <w:tc>
          <w:tcPr>
            <w:tcW w:w="1350" w:type="dxa"/>
            <w:tcBorders>
              <w:top w:val="nil"/>
              <w:left w:val="nil"/>
              <w:bottom w:val="single" w:sz="4" w:space="0" w:color="000000"/>
              <w:right w:val="single" w:sz="4" w:space="0" w:color="000000"/>
            </w:tcBorders>
            <w:shd w:val="clear" w:color="auto" w:fill="auto"/>
            <w:vAlign w:val="bottom"/>
          </w:tcPr>
          <w:p w:rsidR="00897424" w14:paraId="00000053"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 40</w:t>
            </w:r>
          </w:p>
        </w:tc>
        <w:tc>
          <w:tcPr>
            <w:tcW w:w="1710" w:type="dxa"/>
            <w:tcBorders>
              <w:top w:val="nil"/>
              <w:left w:val="nil"/>
              <w:bottom w:val="single" w:sz="4" w:space="0" w:color="000000"/>
              <w:right w:val="single" w:sz="4" w:space="0" w:color="000000"/>
            </w:tcBorders>
            <w:shd w:val="clear" w:color="auto" w:fill="auto"/>
            <w:vAlign w:val="bottom"/>
          </w:tcPr>
          <w:p w:rsidR="00897424" w14:paraId="00000054" w14:textId="77777777">
            <w:pPr>
              <w:widowControl/>
              <w:jc w:val="center"/>
              <w:rPr>
                <w:rFonts w:ascii="Calibri" w:eastAsia="Calibri" w:hAnsi="Calibri" w:cs="Calibri"/>
                <w:color w:val="000000"/>
                <w:sz w:val="16"/>
                <w:szCs w:val="16"/>
              </w:rPr>
            </w:pPr>
            <w:r>
              <w:rPr>
                <w:rFonts w:ascii="Calibri" w:eastAsia="Calibri" w:hAnsi="Calibri" w:cs="Calibri"/>
                <w:sz w:val="16"/>
                <w:szCs w:val="16"/>
              </w:rPr>
              <w:t>$29.11</w:t>
            </w:r>
            <w:r>
              <w:rPr>
                <w:rFonts w:ascii="Calibri" w:eastAsia="Calibri" w:hAnsi="Calibri" w:cs="Calibri"/>
                <w:sz w:val="16"/>
                <w:szCs w:val="16"/>
                <w:vertAlign w:val="superscript"/>
              </w:rPr>
              <w:t>1</w:t>
            </w:r>
          </w:p>
        </w:tc>
        <w:tc>
          <w:tcPr>
            <w:tcW w:w="2255" w:type="dxa"/>
            <w:tcBorders>
              <w:top w:val="nil"/>
              <w:left w:val="nil"/>
              <w:bottom w:val="single" w:sz="4" w:space="0" w:color="000000"/>
              <w:right w:val="single" w:sz="8" w:space="0" w:color="000000"/>
            </w:tcBorders>
            <w:shd w:val="clear" w:color="auto" w:fill="auto"/>
            <w:vAlign w:val="bottom"/>
          </w:tcPr>
          <w:p w:rsidR="00897424" w14:paraId="00000055" w14:textId="77777777">
            <w:pPr>
              <w:widowControl/>
              <w:jc w:val="center"/>
              <w:rPr>
                <w:rFonts w:ascii="Calibri" w:eastAsia="Calibri" w:hAnsi="Calibri" w:cs="Calibri"/>
                <w:color w:val="000000"/>
                <w:sz w:val="16"/>
                <w:szCs w:val="16"/>
              </w:rPr>
            </w:pPr>
            <w:r>
              <w:rPr>
                <w:rFonts w:ascii="Calibri" w:eastAsia="Calibri" w:hAnsi="Calibri" w:cs="Calibri"/>
                <w:sz w:val="16"/>
                <w:szCs w:val="16"/>
              </w:rPr>
              <w:t>$1164.40</w:t>
            </w:r>
            <w:r>
              <w:rPr>
                <w:rFonts w:ascii="Calibri" w:eastAsia="Calibri" w:hAnsi="Calibri" w:cs="Calibri"/>
                <w:color w:val="000000"/>
                <w:sz w:val="16"/>
                <w:szCs w:val="16"/>
              </w:rPr>
              <w:t> </w:t>
            </w:r>
          </w:p>
        </w:tc>
      </w:tr>
      <w:tr w14:paraId="21C4AC48" w14:textId="77777777" w:rsidTr="001A5F04">
        <w:tblPrEx>
          <w:tblW w:w="14420" w:type="dxa"/>
          <w:tblInd w:w="-25" w:type="dxa"/>
          <w:tblLayout w:type="fixed"/>
          <w:tblLook w:val="0400"/>
        </w:tblPrEx>
        <w:trPr>
          <w:trHeight w:val="300"/>
        </w:trPr>
        <w:tc>
          <w:tcPr>
            <w:tcW w:w="1985" w:type="dxa"/>
            <w:tcBorders>
              <w:top w:val="nil"/>
              <w:left w:val="single" w:sz="8" w:space="0" w:color="000000"/>
              <w:bottom w:val="single" w:sz="4" w:space="0" w:color="000000"/>
              <w:right w:val="single" w:sz="4" w:space="0" w:color="000000"/>
            </w:tcBorders>
            <w:shd w:val="clear" w:color="auto" w:fill="auto"/>
            <w:vAlign w:val="bottom"/>
          </w:tcPr>
          <w:p w:rsidR="00897424" w14:paraId="00000056"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r>
              <w:rPr>
                <w:rFonts w:ascii="Calibri" w:eastAsia="Calibri" w:hAnsi="Calibri" w:cs="Calibri"/>
                <w:sz w:val="16"/>
                <w:szCs w:val="16"/>
              </w:rPr>
              <w:t>S</w:t>
            </w:r>
            <w:r>
              <w:rPr>
                <w:rFonts w:ascii="Calibri" w:eastAsia="Calibri" w:hAnsi="Calibri" w:cs="Calibri"/>
                <w:color w:val="000000"/>
                <w:sz w:val="16"/>
                <w:szCs w:val="16"/>
              </w:rPr>
              <w:t>urvey</w:t>
            </w:r>
          </w:p>
        </w:tc>
        <w:tc>
          <w:tcPr>
            <w:tcW w:w="2010" w:type="dxa"/>
            <w:tcBorders>
              <w:top w:val="nil"/>
              <w:left w:val="nil"/>
              <w:bottom w:val="single" w:sz="4" w:space="0" w:color="000000"/>
              <w:right w:val="single" w:sz="4" w:space="0" w:color="000000"/>
            </w:tcBorders>
            <w:shd w:val="clear" w:color="auto" w:fill="auto"/>
            <w:vAlign w:val="bottom"/>
          </w:tcPr>
          <w:p w:rsidR="00897424" w14:paraId="00000057"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 xml:space="preserve">General </w:t>
            </w:r>
            <w:r>
              <w:rPr>
                <w:rFonts w:ascii="Calibri" w:eastAsia="Calibri" w:hAnsi="Calibri" w:cs="Calibri"/>
                <w:sz w:val="16"/>
                <w:szCs w:val="16"/>
              </w:rPr>
              <w:t>P</w:t>
            </w:r>
            <w:r>
              <w:rPr>
                <w:rFonts w:ascii="Calibri" w:eastAsia="Calibri" w:hAnsi="Calibri" w:cs="Calibri"/>
                <w:color w:val="000000"/>
                <w:sz w:val="16"/>
                <w:szCs w:val="16"/>
              </w:rPr>
              <w:t>ublic  </w:t>
            </w:r>
          </w:p>
        </w:tc>
        <w:tc>
          <w:tcPr>
            <w:tcW w:w="1335" w:type="dxa"/>
            <w:tcBorders>
              <w:top w:val="nil"/>
              <w:left w:val="nil"/>
              <w:bottom w:val="single" w:sz="4" w:space="0" w:color="000000"/>
              <w:right w:val="single" w:sz="4" w:space="0" w:color="000000"/>
            </w:tcBorders>
            <w:shd w:val="clear" w:color="auto" w:fill="auto"/>
            <w:vAlign w:val="bottom"/>
          </w:tcPr>
          <w:p w:rsidR="00897424" w14:paraId="00000058"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750 </w:t>
            </w:r>
          </w:p>
        </w:tc>
        <w:tc>
          <w:tcPr>
            <w:tcW w:w="1345" w:type="dxa"/>
            <w:tcBorders>
              <w:top w:val="nil"/>
              <w:left w:val="nil"/>
              <w:bottom w:val="single" w:sz="4" w:space="0" w:color="000000"/>
              <w:right w:val="single" w:sz="4" w:space="0" w:color="000000"/>
            </w:tcBorders>
            <w:shd w:val="clear" w:color="auto" w:fill="auto"/>
            <w:vAlign w:val="bottom"/>
          </w:tcPr>
          <w:p w:rsidR="00897424" w14:paraId="00000059" w14:textId="77777777">
            <w:pPr>
              <w:widowControl/>
              <w:jc w:val="center"/>
              <w:rPr>
                <w:rFonts w:ascii="Calibri" w:eastAsia="Calibri" w:hAnsi="Calibri" w:cs="Calibri"/>
                <w:color w:val="000000"/>
                <w:sz w:val="16"/>
                <w:szCs w:val="16"/>
              </w:rPr>
            </w:pPr>
            <w:r>
              <w:rPr>
                <w:rFonts w:ascii="Calibri" w:eastAsia="Calibri" w:hAnsi="Calibri" w:cs="Calibri"/>
                <w:sz w:val="16"/>
                <w:szCs w:val="16"/>
              </w:rPr>
              <w:t>1</w:t>
            </w:r>
            <w:r>
              <w:rPr>
                <w:rFonts w:ascii="Calibri" w:eastAsia="Calibri" w:hAnsi="Calibri" w:cs="Calibri"/>
                <w:color w:val="000000"/>
                <w:sz w:val="16"/>
                <w:szCs w:val="16"/>
              </w:rPr>
              <w:t> </w:t>
            </w:r>
          </w:p>
        </w:tc>
        <w:tc>
          <w:tcPr>
            <w:tcW w:w="1260" w:type="dxa"/>
            <w:tcBorders>
              <w:top w:val="nil"/>
              <w:left w:val="nil"/>
              <w:bottom w:val="single" w:sz="4" w:space="0" w:color="000000"/>
              <w:right w:val="single" w:sz="4" w:space="0" w:color="000000"/>
            </w:tcBorders>
            <w:shd w:val="clear" w:color="auto" w:fill="auto"/>
            <w:vAlign w:val="bottom"/>
          </w:tcPr>
          <w:p w:rsidR="00897424" w14:paraId="0000005A" w14:textId="77777777">
            <w:pPr>
              <w:widowControl/>
              <w:jc w:val="center"/>
              <w:rPr>
                <w:rFonts w:ascii="Calibri" w:eastAsia="Calibri" w:hAnsi="Calibri" w:cs="Calibri"/>
                <w:color w:val="000000"/>
                <w:sz w:val="16"/>
                <w:szCs w:val="16"/>
              </w:rPr>
            </w:pPr>
            <w:r>
              <w:rPr>
                <w:rFonts w:ascii="Calibri" w:eastAsia="Calibri" w:hAnsi="Calibri" w:cs="Calibri"/>
                <w:sz w:val="16"/>
                <w:szCs w:val="16"/>
              </w:rPr>
              <w:t>750</w:t>
            </w:r>
            <w:r>
              <w:rPr>
                <w:rFonts w:ascii="Calibri" w:eastAsia="Calibri" w:hAnsi="Calibri" w:cs="Calibri"/>
                <w:color w:val="000000"/>
                <w:sz w:val="16"/>
                <w:szCs w:val="16"/>
              </w:rPr>
              <w:t> </w:t>
            </w:r>
          </w:p>
        </w:tc>
        <w:tc>
          <w:tcPr>
            <w:tcW w:w="1170" w:type="dxa"/>
            <w:tcBorders>
              <w:top w:val="nil"/>
              <w:left w:val="nil"/>
              <w:bottom w:val="single" w:sz="4" w:space="0" w:color="000000"/>
              <w:right w:val="single" w:sz="4" w:space="0" w:color="000000"/>
            </w:tcBorders>
            <w:shd w:val="clear" w:color="auto" w:fill="auto"/>
            <w:vAlign w:val="bottom"/>
          </w:tcPr>
          <w:p w:rsidR="00897424" w14:paraId="0000005B"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 0.25</w:t>
            </w:r>
          </w:p>
        </w:tc>
        <w:tc>
          <w:tcPr>
            <w:tcW w:w="1350" w:type="dxa"/>
            <w:tcBorders>
              <w:top w:val="nil"/>
              <w:left w:val="nil"/>
              <w:bottom w:val="single" w:sz="4" w:space="0" w:color="000000"/>
              <w:right w:val="single" w:sz="4" w:space="0" w:color="000000"/>
            </w:tcBorders>
            <w:shd w:val="clear" w:color="auto" w:fill="auto"/>
            <w:vAlign w:val="bottom"/>
          </w:tcPr>
          <w:p w:rsidR="00897424" w14:paraId="0000005C" w14:textId="77777777">
            <w:pPr>
              <w:widowControl/>
              <w:jc w:val="center"/>
              <w:rPr>
                <w:rFonts w:ascii="Calibri" w:eastAsia="Calibri" w:hAnsi="Calibri" w:cs="Calibri"/>
                <w:color w:val="000000"/>
                <w:sz w:val="16"/>
                <w:szCs w:val="16"/>
              </w:rPr>
            </w:pPr>
            <w:r>
              <w:rPr>
                <w:rFonts w:ascii="Calibri" w:eastAsia="Calibri" w:hAnsi="Calibri" w:cs="Calibri"/>
                <w:color w:val="000000"/>
                <w:sz w:val="16"/>
                <w:szCs w:val="16"/>
              </w:rPr>
              <w:t> 187.50</w:t>
            </w:r>
          </w:p>
        </w:tc>
        <w:tc>
          <w:tcPr>
            <w:tcW w:w="1710" w:type="dxa"/>
            <w:tcBorders>
              <w:top w:val="nil"/>
              <w:left w:val="nil"/>
              <w:bottom w:val="single" w:sz="4" w:space="0" w:color="000000"/>
              <w:right w:val="single" w:sz="4" w:space="0" w:color="000000"/>
            </w:tcBorders>
            <w:shd w:val="clear" w:color="auto" w:fill="auto"/>
            <w:vAlign w:val="bottom"/>
          </w:tcPr>
          <w:p w:rsidR="00897424" w14:paraId="0000005D" w14:textId="77777777">
            <w:pPr>
              <w:widowControl/>
              <w:jc w:val="center"/>
              <w:rPr>
                <w:rFonts w:ascii="Calibri" w:eastAsia="Calibri" w:hAnsi="Calibri" w:cs="Calibri"/>
                <w:color w:val="000000"/>
                <w:sz w:val="16"/>
                <w:szCs w:val="16"/>
              </w:rPr>
            </w:pPr>
            <w:r>
              <w:rPr>
                <w:rFonts w:ascii="Calibri" w:eastAsia="Calibri" w:hAnsi="Calibri" w:cs="Calibri"/>
                <w:sz w:val="16"/>
                <w:szCs w:val="16"/>
              </w:rPr>
              <w:t>$29.76</w:t>
            </w:r>
            <w:r>
              <w:rPr>
                <w:rFonts w:ascii="Calibri" w:eastAsia="Calibri" w:hAnsi="Calibri" w:cs="Calibri"/>
                <w:sz w:val="16"/>
                <w:szCs w:val="16"/>
                <w:vertAlign w:val="superscript"/>
              </w:rPr>
              <w:t>2</w:t>
            </w:r>
            <w:r>
              <w:rPr>
                <w:rFonts w:ascii="Calibri" w:eastAsia="Calibri" w:hAnsi="Calibri" w:cs="Calibri"/>
                <w:color w:val="000000"/>
                <w:sz w:val="16"/>
                <w:szCs w:val="16"/>
              </w:rPr>
              <w:t> </w:t>
            </w:r>
          </w:p>
        </w:tc>
        <w:tc>
          <w:tcPr>
            <w:tcW w:w="2255" w:type="dxa"/>
            <w:tcBorders>
              <w:top w:val="nil"/>
              <w:left w:val="nil"/>
              <w:bottom w:val="single" w:sz="4" w:space="0" w:color="000000"/>
              <w:right w:val="single" w:sz="8" w:space="0" w:color="000000"/>
            </w:tcBorders>
            <w:shd w:val="clear" w:color="auto" w:fill="auto"/>
            <w:vAlign w:val="bottom"/>
          </w:tcPr>
          <w:p w:rsidR="00897424" w14:paraId="0000005E" w14:textId="77777777">
            <w:pPr>
              <w:widowControl/>
              <w:jc w:val="center"/>
              <w:rPr>
                <w:rFonts w:ascii="Calibri" w:eastAsia="Calibri" w:hAnsi="Calibri" w:cs="Calibri"/>
                <w:color w:val="000000"/>
                <w:sz w:val="16"/>
                <w:szCs w:val="16"/>
              </w:rPr>
            </w:pPr>
            <w:r>
              <w:rPr>
                <w:rFonts w:ascii="Calibri" w:eastAsia="Calibri" w:hAnsi="Calibri" w:cs="Calibri"/>
                <w:sz w:val="16"/>
                <w:szCs w:val="16"/>
              </w:rPr>
              <w:t>$5580</w:t>
            </w:r>
            <w:r>
              <w:rPr>
                <w:rFonts w:ascii="Calibri" w:eastAsia="Calibri" w:hAnsi="Calibri" w:cs="Calibri"/>
                <w:color w:val="000000"/>
                <w:sz w:val="16"/>
                <w:szCs w:val="16"/>
              </w:rPr>
              <w:t> </w:t>
            </w:r>
          </w:p>
        </w:tc>
      </w:tr>
      <w:tr w14:paraId="111219EE" w14:textId="77777777" w:rsidTr="001A5F04">
        <w:tblPrEx>
          <w:tblW w:w="14420" w:type="dxa"/>
          <w:tblInd w:w="-25" w:type="dxa"/>
          <w:tblLayout w:type="fixed"/>
          <w:tblLook w:val="0400"/>
        </w:tblPrEx>
        <w:trPr>
          <w:trHeight w:val="300"/>
        </w:trPr>
        <w:tc>
          <w:tcPr>
            <w:tcW w:w="1985" w:type="dxa"/>
            <w:tcBorders>
              <w:top w:val="nil"/>
              <w:left w:val="single" w:sz="8" w:space="0" w:color="000000"/>
              <w:bottom w:val="single" w:sz="8" w:space="0" w:color="000000"/>
              <w:right w:val="single" w:sz="8" w:space="0" w:color="000000"/>
            </w:tcBorders>
            <w:shd w:val="clear" w:color="auto" w:fill="DDEBF7"/>
            <w:vAlign w:val="bottom"/>
          </w:tcPr>
          <w:p w:rsidR="00897424" w14:paraId="0000005F" w14:textId="77777777">
            <w:pPr>
              <w:widowControl/>
              <w:rPr>
                <w:rFonts w:ascii="Calibri" w:eastAsia="Calibri" w:hAnsi="Calibri" w:cs="Calibri"/>
                <w:b/>
                <w:color w:val="000000"/>
                <w:sz w:val="18"/>
                <w:szCs w:val="18"/>
              </w:rPr>
            </w:pPr>
            <w:r>
              <w:rPr>
                <w:rFonts w:ascii="Calibri" w:eastAsia="Calibri" w:hAnsi="Calibri" w:cs="Calibri"/>
                <w:b/>
                <w:color w:val="000000"/>
                <w:sz w:val="18"/>
                <w:szCs w:val="18"/>
              </w:rPr>
              <w:t>Totals</w:t>
            </w:r>
          </w:p>
        </w:tc>
        <w:tc>
          <w:tcPr>
            <w:tcW w:w="2010" w:type="dxa"/>
            <w:tcBorders>
              <w:top w:val="nil"/>
              <w:left w:val="nil"/>
              <w:bottom w:val="single" w:sz="8" w:space="0" w:color="000000"/>
              <w:right w:val="single" w:sz="8" w:space="0" w:color="000000"/>
            </w:tcBorders>
            <w:shd w:val="clear" w:color="auto" w:fill="000000"/>
            <w:vAlign w:val="bottom"/>
          </w:tcPr>
          <w:p w:rsidR="00897424" w14:paraId="00000060" w14:textId="77777777">
            <w:pPr>
              <w:widowControl/>
              <w:rPr>
                <w:rFonts w:ascii="Calibri" w:eastAsia="Calibri" w:hAnsi="Calibri" w:cs="Calibri"/>
                <w:b/>
                <w:color w:val="000000"/>
                <w:sz w:val="18"/>
                <w:szCs w:val="18"/>
              </w:rPr>
            </w:pPr>
            <w:r>
              <w:rPr>
                <w:rFonts w:ascii="Calibri" w:eastAsia="Calibri" w:hAnsi="Calibri" w:cs="Calibri"/>
                <w:b/>
                <w:color w:val="000000"/>
                <w:sz w:val="18"/>
                <w:szCs w:val="18"/>
              </w:rPr>
              <w:t> </w:t>
            </w:r>
          </w:p>
        </w:tc>
        <w:tc>
          <w:tcPr>
            <w:tcW w:w="1335" w:type="dxa"/>
            <w:tcBorders>
              <w:top w:val="nil"/>
              <w:left w:val="nil"/>
              <w:bottom w:val="single" w:sz="8" w:space="0" w:color="000000"/>
              <w:right w:val="single" w:sz="8" w:space="0" w:color="000000"/>
            </w:tcBorders>
            <w:shd w:val="clear" w:color="auto" w:fill="000000"/>
            <w:vAlign w:val="bottom"/>
          </w:tcPr>
          <w:p w:rsidR="00897424" w14:paraId="00000061" w14:textId="77777777">
            <w:pPr>
              <w:widowControl/>
              <w:jc w:val="center"/>
              <w:rPr>
                <w:rFonts w:ascii="Calibri" w:eastAsia="Calibri" w:hAnsi="Calibri" w:cs="Calibri"/>
                <w:b/>
                <w:color w:val="000000"/>
                <w:sz w:val="18"/>
                <w:szCs w:val="18"/>
              </w:rPr>
            </w:pPr>
            <w:r>
              <w:rPr>
                <w:rFonts w:ascii="Calibri" w:eastAsia="Calibri" w:hAnsi="Calibri" w:cs="Calibri"/>
                <w:b/>
                <w:color w:val="000000"/>
                <w:sz w:val="18"/>
                <w:szCs w:val="18"/>
              </w:rPr>
              <w:t> </w:t>
            </w:r>
          </w:p>
        </w:tc>
        <w:tc>
          <w:tcPr>
            <w:tcW w:w="1345" w:type="dxa"/>
            <w:tcBorders>
              <w:top w:val="nil"/>
              <w:left w:val="nil"/>
              <w:bottom w:val="single" w:sz="8" w:space="0" w:color="000000"/>
              <w:right w:val="single" w:sz="8" w:space="0" w:color="000000"/>
            </w:tcBorders>
            <w:shd w:val="clear" w:color="auto" w:fill="000000"/>
            <w:vAlign w:val="bottom"/>
          </w:tcPr>
          <w:p w:rsidR="00897424" w14:paraId="00000062" w14:textId="77777777">
            <w:pPr>
              <w:widowControl/>
              <w:jc w:val="center"/>
              <w:rPr>
                <w:rFonts w:ascii="Calibri" w:eastAsia="Calibri" w:hAnsi="Calibri" w:cs="Calibri"/>
                <w:b/>
                <w:color w:val="000000"/>
                <w:sz w:val="18"/>
                <w:szCs w:val="18"/>
              </w:rPr>
            </w:pPr>
            <w:r>
              <w:rPr>
                <w:rFonts w:ascii="Calibri" w:eastAsia="Calibri" w:hAnsi="Calibri" w:cs="Calibri"/>
                <w:b/>
                <w:color w:val="000000"/>
                <w:sz w:val="18"/>
                <w:szCs w:val="18"/>
              </w:rPr>
              <w:t> </w:t>
            </w:r>
          </w:p>
        </w:tc>
        <w:tc>
          <w:tcPr>
            <w:tcW w:w="1260" w:type="dxa"/>
            <w:tcBorders>
              <w:top w:val="nil"/>
              <w:left w:val="nil"/>
              <w:bottom w:val="single" w:sz="8" w:space="0" w:color="000000"/>
              <w:right w:val="single" w:sz="8" w:space="0" w:color="000000"/>
            </w:tcBorders>
            <w:shd w:val="clear" w:color="auto" w:fill="DDEBF7"/>
            <w:vAlign w:val="bottom"/>
          </w:tcPr>
          <w:p w:rsidR="00897424" w14:paraId="00000063" w14:textId="77777777">
            <w:pPr>
              <w:widowControl/>
              <w:jc w:val="center"/>
              <w:rPr>
                <w:rFonts w:ascii="Calibri" w:eastAsia="Calibri" w:hAnsi="Calibri" w:cs="Calibri"/>
                <w:b/>
                <w:color w:val="000000"/>
                <w:sz w:val="18"/>
                <w:szCs w:val="18"/>
              </w:rPr>
            </w:pPr>
            <w:r>
              <w:rPr>
                <w:rFonts w:ascii="Calibri" w:eastAsia="Calibri" w:hAnsi="Calibri" w:cs="Calibri"/>
                <w:b/>
                <w:color w:val="000000"/>
                <w:sz w:val="18"/>
                <w:szCs w:val="18"/>
              </w:rPr>
              <w:t> 790</w:t>
            </w:r>
          </w:p>
        </w:tc>
        <w:tc>
          <w:tcPr>
            <w:tcW w:w="1170" w:type="dxa"/>
            <w:tcBorders>
              <w:top w:val="nil"/>
              <w:left w:val="nil"/>
              <w:bottom w:val="single" w:sz="8" w:space="0" w:color="000000"/>
              <w:right w:val="single" w:sz="8" w:space="0" w:color="000000"/>
            </w:tcBorders>
            <w:shd w:val="clear" w:color="auto" w:fill="000000"/>
            <w:vAlign w:val="bottom"/>
          </w:tcPr>
          <w:p w:rsidR="00897424" w14:paraId="00000064" w14:textId="77777777">
            <w:pPr>
              <w:widowControl/>
              <w:jc w:val="center"/>
              <w:rPr>
                <w:rFonts w:ascii="Calibri" w:eastAsia="Calibri" w:hAnsi="Calibri" w:cs="Calibri"/>
                <w:b/>
                <w:color w:val="000000"/>
                <w:sz w:val="18"/>
                <w:szCs w:val="18"/>
              </w:rPr>
            </w:pPr>
            <w:r>
              <w:rPr>
                <w:rFonts w:ascii="Calibri" w:eastAsia="Calibri" w:hAnsi="Calibri" w:cs="Calibri"/>
                <w:b/>
                <w:color w:val="000000"/>
                <w:sz w:val="18"/>
                <w:szCs w:val="18"/>
              </w:rPr>
              <w:t> </w:t>
            </w:r>
          </w:p>
        </w:tc>
        <w:tc>
          <w:tcPr>
            <w:tcW w:w="1350" w:type="dxa"/>
            <w:tcBorders>
              <w:top w:val="nil"/>
              <w:left w:val="nil"/>
              <w:bottom w:val="single" w:sz="8" w:space="0" w:color="000000"/>
              <w:right w:val="single" w:sz="8" w:space="0" w:color="000000"/>
            </w:tcBorders>
            <w:shd w:val="clear" w:color="auto" w:fill="DDEBF7"/>
            <w:vAlign w:val="bottom"/>
          </w:tcPr>
          <w:p w:rsidR="00897424" w14:paraId="00000065" w14:textId="77777777">
            <w:pPr>
              <w:widowControl/>
              <w:jc w:val="center"/>
              <w:rPr>
                <w:rFonts w:ascii="Calibri" w:eastAsia="Calibri" w:hAnsi="Calibri" w:cs="Calibri"/>
                <w:b/>
                <w:color w:val="000000"/>
                <w:sz w:val="18"/>
                <w:szCs w:val="18"/>
              </w:rPr>
            </w:pPr>
            <w:r>
              <w:rPr>
                <w:rFonts w:ascii="Calibri" w:eastAsia="Calibri" w:hAnsi="Calibri" w:cs="Calibri"/>
                <w:b/>
                <w:color w:val="000000"/>
                <w:sz w:val="18"/>
                <w:szCs w:val="18"/>
              </w:rPr>
              <w:t> 227.50</w:t>
            </w:r>
          </w:p>
        </w:tc>
        <w:tc>
          <w:tcPr>
            <w:tcW w:w="1710" w:type="dxa"/>
            <w:tcBorders>
              <w:top w:val="nil"/>
              <w:left w:val="nil"/>
              <w:bottom w:val="single" w:sz="8" w:space="0" w:color="000000"/>
              <w:right w:val="single" w:sz="8" w:space="0" w:color="000000"/>
            </w:tcBorders>
            <w:shd w:val="clear" w:color="auto" w:fill="000000"/>
            <w:vAlign w:val="bottom"/>
          </w:tcPr>
          <w:p w:rsidR="00897424" w14:paraId="00000066" w14:textId="77777777">
            <w:pPr>
              <w:widowControl/>
              <w:jc w:val="center"/>
              <w:rPr>
                <w:rFonts w:ascii="Calibri" w:eastAsia="Calibri" w:hAnsi="Calibri" w:cs="Calibri"/>
                <w:b/>
                <w:color w:val="000000"/>
                <w:sz w:val="18"/>
                <w:szCs w:val="18"/>
              </w:rPr>
            </w:pPr>
            <w:r>
              <w:rPr>
                <w:rFonts w:ascii="Calibri" w:eastAsia="Calibri" w:hAnsi="Calibri" w:cs="Calibri"/>
                <w:b/>
                <w:color w:val="000000"/>
                <w:sz w:val="18"/>
                <w:szCs w:val="18"/>
              </w:rPr>
              <w:t> </w:t>
            </w:r>
          </w:p>
        </w:tc>
        <w:tc>
          <w:tcPr>
            <w:tcW w:w="2255" w:type="dxa"/>
            <w:tcBorders>
              <w:top w:val="nil"/>
              <w:left w:val="nil"/>
              <w:bottom w:val="single" w:sz="8" w:space="0" w:color="000000"/>
              <w:right w:val="single" w:sz="8" w:space="0" w:color="000000"/>
            </w:tcBorders>
            <w:shd w:val="clear" w:color="auto" w:fill="DDEBF7"/>
            <w:vAlign w:val="bottom"/>
          </w:tcPr>
          <w:p w:rsidR="00897424" w14:paraId="00000067" w14:textId="77777777">
            <w:pPr>
              <w:widowControl/>
              <w:jc w:val="center"/>
              <w:rPr>
                <w:rFonts w:ascii="Calibri" w:eastAsia="Calibri" w:hAnsi="Calibri" w:cs="Calibri"/>
                <w:b/>
                <w:color w:val="000000"/>
                <w:sz w:val="18"/>
                <w:szCs w:val="18"/>
              </w:rPr>
            </w:pPr>
            <w:r>
              <w:rPr>
                <w:rFonts w:ascii="Calibri" w:eastAsia="Calibri" w:hAnsi="Calibri" w:cs="Calibri"/>
                <w:b/>
                <w:color w:val="000000"/>
                <w:sz w:val="18"/>
                <w:szCs w:val="18"/>
              </w:rPr>
              <w:t> $67</w:t>
            </w:r>
            <w:r>
              <w:rPr>
                <w:rFonts w:ascii="Calibri" w:eastAsia="Calibri" w:hAnsi="Calibri" w:cs="Calibri"/>
                <w:b/>
                <w:sz w:val="18"/>
                <w:szCs w:val="18"/>
              </w:rPr>
              <w:t>44.40</w:t>
            </w:r>
          </w:p>
        </w:tc>
      </w:tr>
    </w:tbl>
    <w:p w:rsidR="00897424" w14:paraId="00000068" w14:textId="77777777">
      <w:pPr>
        <w:spacing w:line="259" w:lineRule="auto"/>
        <w:ind w:hanging="43"/>
        <w:rPr>
          <w:sz w:val="18"/>
          <w:szCs w:val="18"/>
        </w:rPr>
      </w:pPr>
      <w:r>
        <w:rPr>
          <w:sz w:val="18"/>
          <w:szCs w:val="18"/>
          <w:vertAlign w:val="superscript"/>
        </w:rPr>
        <w:t>1</w:t>
      </w:r>
      <w:r>
        <w:rPr>
          <w:sz w:val="18"/>
          <w:szCs w:val="18"/>
        </w:rPr>
        <w:t>21-2021</w:t>
      </w:r>
      <w:r>
        <w:rPr>
          <w:sz w:val="18"/>
          <w:szCs w:val="18"/>
        </w:rPr>
        <w:t xml:space="preserve"> code used for the FCBOs. This code covers Directors of Religious Activities and Education who coordinate or design programs and conduct outreach to promote the religious education or activities of a denominational group. They may provide counseling, guida</w:t>
      </w:r>
      <w:r>
        <w:rPr>
          <w:sz w:val="18"/>
          <w:szCs w:val="18"/>
        </w:rPr>
        <w:t>nce, and leadership relative to marital, health, financial, and religious problems.</w:t>
      </w:r>
    </w:p>
    <w:p w:rsidR="00897424" w14:paraId="00000069" w14:textId="77777777">
      <w:pPr>
        <w:spacing w:line="259" w:lineRule="auto"/>
        <w:ind w:hanging="43"/>
        <w:rPr>
          <w:b/>
        </w:rPr>
        <w:sectPr>
          <w:pgSz w:w="15840" w:h="12240" w:orient="landscape"/>
          <w:pgMar w:top="640" w:right="1080" w:bottom="1200" w:left="1080" w:header="0" w:footer="714" w:gutter="0"/>
          <w:cols w:space="720"/>
        </w:sectPr>
      </w:pPr>
      <w:bookmarkStart w:id="0" w:name="_heading=h.30j0zll" w:colFirst="0" w:colLast="0"/>
      <w:bookmarkEnd w:id="0"/>
      <w:r>
        <w:rPr>
          <w:sz w:val="18"/>
          <w:szCs w:val="18"/>
          <w:vertAlign w:val="superscript"/>
        </w:rPr>
        <w:t>2</w:t>
      </w:r>
      <w:r>
        <w:rPr>
          <w:sz w:val="18"/>
          <w:szCs w:val="18"/>
        </w:rPr>
        <w:t>00-0000 code used for the general population given the variety of potential occupations among the respondents</w:t>
      </w:r>
    </w:p>
    <w:p w:rsidR="00897424" w14:paraId="0000006A" w14:textId="77777777">
      <w:pPr>
        <w:numPr>
          <w:ilvl w:val="0"/>
          <w:numId w:val="3"/>
        </w:numPr>
        <w:pBdr>
          <w:top w:val="nil"/>
          <w:left w:val="nil"/>
          <w:bottom w:val="nil"/>
          <w:right w:val="nil"/>
          <w:between w:val="nil"/>
        </w:pBdr>
        <w:tabs>
          <w:tab w:val="left" w:pos="360"/>
        </w:tabs>
        <w:spacing w:before="80"/>
        <w:rPr>
          <w:b/>
          <w:color w:val="000000"/>
        </w:rPr>
      </w:pPr>
      <w:r>
        <w:rPr>
          <w:b/>
          <w:color w:val="000000"/>
        </w:rPr>
        <w:t>Provide an estimate for the total annual cost burden to respondents or record keepers resulting from the collection of information. (Do not include the cost of any hour burden already reflected on the burden worksheet).</w:t>
      </w:r>
    </w:p>
    <w:p w:rsidR="00897424" w14:paraId="0000006B" w14:textId="77777777">
      <w:pPr>
        <w:pBdr>
          <w:top w:val="nil"/>
          <w:left w:val="nil"/>
          <w:bottom w:val="nil"/>
          <w:right w:val="nil"/>
          <w:between w:val="nil"/>
        </w:pBdr>
        <w:spacing w:before="1"/>
        <w:rPr>
          <w:b/>
          <w:color w:val="000000"/>
        </w:rPr>
      </w:pPr>
    </w:p>
    <w:p w:rsidR="00897424" w14:paraId="0000006C" w14:textId="77777777">
      <w:r>
        <w:t>There are no capital costs or opera</w:t>
      </w:r>
      <w:r>
        <w:t>tion and maintenance costs associated with this collection.</w:t>
      </w:r>
    </w:p>
    <w:p w:rsidR="00897424" w14:paraId="0000006D" w14:textId="77777777">
      <w:pPr>
        <w:pBdr>
          <w:top w:val="nil"/>
          <w:left w:val="nil"/>
          <w:bottom w:val="nil"/>
          <w:right w:val="nil"/>
          <w:between w:val="nil"/>
        </w:pBdr>
        <w:spacing w:before="7"/>
        <w:rPr>
          <w:b/>
          <w:color w:val="000000"/>
        </w:rPr>
      </w:pPr>
    </w:p>
    <w:p w:rsidR="00897424" w14:paraId="0000006E" w14:textId="77777777">
      <w:pPr>
        <w:numPr>
          <w:ilvl w:val="0"/>
          <w:numId w:val="3"/>
        </w:numPr>
        <w:pBdr>
          <w:top w:val="nil"/>
          <w:left w:val="nil"/>
          <w:bottom w:val="nil"/>
          <w:right w:val="nil"/>
          <w:between w:val="nil"/>
        </w:pBdr>
        <w:tabs>
          <w:tab w:val="left" w:pos="360"/>
        </w:tabs>
        <w:spacing w:before="80"/>
        <w:rPr>
          <w:b/>
          <w:color w:val="000000"/>
        </w:rPr>
      </w:pPr>
      <w:r>
        <w:rPr>
          <w:b/>
          <w:color w:val="000000"/>
        </w:rPr>
        <w:t>Provide estimates of annualized cost to the Federal government. Also, provide a description of the method used to estimate cost, which should include quantification of hours, operational expenses</w:t>
      </w:r>
      <w:r>
        <w:rPr>
          <w:b/>
          <w:color w:val="000000"/>
        </w:rPr>
        <w:t xml:space="preserve"> (such as equipment, overhead, printing, and support staff), and any other expense that would not have been incurred without this collection of information.</w:t>
      </w:r>
    </w:p>
    <w:p w:rsidR="00897424" w14:paraId="0000006F" w14:textId="77777777">
      <w:pPr>
        <w:pBdr>
          <w:top w:val="nil"/>
          <w:left w:val="nil"/>
          <w:bottom w:val="nil"/>
          <w:right w:val="nil"/>
          <w:between w:val="nil"/>
        </w:pBdr>
        <w:spacing w:before="9" w:after="1"/>
        <w:rPr>
          <w:b/>
          <w:color w:val="000000"/>
        </w:rPr>
      </w:pPr>
    </w:p>
    <w:tbl>
      <w:tblPr>
        <w:tblStyle w:val="a7"/>
        <w:tblW w:w="8240" w:type="dxa"/>
        <w:tblInd w:w="-25" w:type="dxa"/>
        <w:tblLayout w:type="fixed"/>
        <w:tblLook w:val="0400"/>
      </w:tblPr>
      <w:tblGrid>
        <w:gridCol w:w="2280"/>
        <w:gridCol w:w="1120"/>
        <w:gridCol w:w="1140"/>
        <w:gridCol w:w="1120"/>
        <w:gridCol w:w="1280"/>
        <w:gridCol w:w="1300"/>
      </w:tblGrid>
      <w:tr w14:paraId="7F12B258" w14:textId="77777777">
        <w:tblPrEx>
          <w:tblW w:w="8240" w:type="dxa"/>
          <w:tblInd w:w="-25" w:type="dxa"/>
          <w:tblLayout w:type="fixed"/>
          <w:tblLook w:val="0400"/>
        </w:tblPrEx>
        <w:trPr>
          <w:trHeight w:val="450"/>
        </w:trPr>
        <w:tc>
          <w:tcPr>
            <w:tcW w:w="2280" w:type="dxa"/>
            <w:tcBorders>
              <w:top w:val="single" w:sz="8" w:space="0" w:color="000000"/>
              <w:left w:val="single" w:sz="8" w:space="0" w:color="000000"/>
              <w:bottom w:val="nil"/>
              <w:right w:val="single" w:sz="8" w:space="0" w:color="000000"/>
            </w:tcBorders>
            <w:shd w:val="clear" w:color="auto" w:fill="BDD7EE"/>
            <w:vAlign w:val="center"/>
          </w:tcPr>
          <w:p w:rsidR="00897424" w14:paraId="00000070"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Cost Descriptions</w:t>
            </w:r>
          </w:p>
        </w:tc>
        <w:tc>
          <w:tcPr>
            <w:tcW w:w="1120" w:type="dxa"/>
            <w:tcBorders>
              <w:top w:val="single" w:sz="8" w:space="0" w:color="000000"/>
              <w:left w:val="nil"/>
              <w:bottom w:val="nil"/>
              <w:right w:val="single" w:sz="8" w:space="0" w:color="000000"/>
            </w:tcBorders>
            <w:shd w:val="clear" w:color="auto" w:fill="BDD7EE"/>
            <w:vAlign w:val="center"/>
          </w:tcPr>
          <w:p w:rsidR="00897424" w14:paraId="00000071" w14:textId="77777777">
            <w:pPr>
              <w:widowControl/>
              <w:rPr>
                <w:rFonts w:ascii="Calibri" w:eastAsia="Calibri" w:hAnsi="Calibri" w:cs="Calibri"/>
                <w:b/>
                <w:color w:val="000000"/>
                <w:sz w:val="16"/>
                <w:szCs w:val="16"/>
              </w:rPr>
            </w:pPr>
            <w:sdt>
              <w:sdtPr>
                <w:tag w:val="goog_rdk_0"/>
                <w:id w:val="1179162908"/>
                <w:richText/>
              </w:sdtPr>
              <w:sdtContent/>
            </w:sdt>
            <w:sdt>
              <w:sdtPr>
                <w:tag w:val="goog_rdk_1"/>
                <w:id w:val="944658283"/>
                <w:richText/>
              </w:sdtPr>
              <w:sdtContent/>
            </w:sdt>
            <w:sdt>
              <w:sdtPr>
                <w:tag w:val="goog_rdk_2"/>
                <w:id w:val="-405989513"/>
                <w:richText/>
              </w:sdtPr>
              <w:sdtContent/>
            </w:sdt>
            <w:r>
              <w:rPr>
                <w:rFonts w:ascii="Calibri" w:eastAsia="Calibri" w:hAnsi="Calibri" w:cs="Calibri"/>
                <w:b/>
                <w:color w:val="000000"/>
                <w:sz w:val="16"/>
                <w:szCs w:val="16"/>
              </w:rPr>
              <w:t>Grade/Step</w:t>
            </w:r>
          </w:p>
        </w:tc>
        <w:tc>
          <w:tcPr>
            <w:tcW w:w="1140" w:type="dxa"/>
            <w:tcBorders>
              <w:top w:val="single" w:sz="8" w:space="0" w:color="000000"/>
              <w:left w:val="nil"/>
              <w:bottom w:val="nil"/>
              <w:right w:val="single" w:sz="8" w:space="0" w:color="000000"/>
            </w:tcBorders>
            <w:shd w:val="clear" w:color="auto" w:fill="BDD7EE"/>
            <w:vAlign w:val="center"/>
          </w:tcPr>
          <w:p w:rsidR="00897424" w14:paraId="00000072"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Loaded Salary /Cost</w:t>
            </w:r>
          </w:p>
        </w:tc>
        <w:tc>
          <w:tcPr>
            <w:tcW w:w="1120" w:type="dxa"/>
            <w:tcBorders>
              <w:top w:val="single" w:sz="8" w:space="0" w:color="000000"/>
              <w:left w:val="nil"/>
              <w:bottom w:val="nil"/>
              <w:right w:val="single" w:sz="8" w:space="0" w:color="000000"/>
            </w:tcBorders>
            <w:shd w:val="clear" w:color="auto" w:fill="BDD7EE"/>
            <w:vAlign w:val="center"/>
          </w:tcPr>
          <w:p w:rsidR="00897424" w14:paraId="00000073"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 of Effort</w:t>
            </w:r>
          </w:p>
        </w:tc>
        <w:tc>
          <w:tcPr>
            <w:tcW w:w="1280" w:type="dxa"/>
            <w:tcBorders>
              <w:top w:val="single" w:sz="8" w:space="0" w:color="000000"/>
              <w:left w:val="nil"/>
              <w:bottom w:val="nil"/>
              <w:right w:val="single" w:sz="8" w:space="0" w:color="000000"/>
            </w:tcBorders>
            <w:shd w:val="clear" w:color="auto" w:fill="BDD7EE"/>
            <w:vAlign w:val="center"/>
          </w:tcPr>
          <w:p w:rsidR="00897424" w14:paraId="00000074"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Fringe (if Applicable)</w:t>
            </w:r>
          </w:p>
        </w:tc>
        <w:tc>
          <w:tcPr>
            <w:tcW w:w="1300" w:type="dxa"/>
            <w:tcBorders>
              <w:top w:val="single" w:sz="8" w:space="0" w:color="000000"/>
              <w:left w:val="nil"/>
              <w:bottom w:val="nil"/>
              <w:right w:val="single" w:sz="8" w:space="0" w:color="000000"/>
            </w:tcBorders>
            <w:shd w:val="clear" w:color="auto" w:fill="BDD7EE"/>
            <w:vAlign w:val="center"/>
          </w:tcPr>
          <w:p w:rsidR="00897424" w14:paraId="00000075"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Total Cost to Government</w:t>
            </w:r>
          </w:p>
        </w:tc>
      </w:tr>
      <w:tr w14:paraId="0B50D215" w14:textId="77777777">
        <w:tblPrEx>
          <w:tblW w:w="8240" w:type="dxa"/>
          <w:tblInd w:w="-25" w:type="dxa"/>
          <w:tblLayout w:type="fixed"/>
          <w:tblLook w:val="0400"/>
        </w:tblPrEx>
        <w:trPr>
          <w:trHeight w:val="465"/>
        </w:trPr>
        <w:tc>
          <w:tcPr>
            <w:tcW w:w="2280" w:type="dxa"/>
            <w:tcBorders>
              <w:top w:val="single" w:sz="4" w:space="0" w:color="000000"/>
              <w:left w:val="single" w:sz="8" w:space="0" w:color="000000"/>
              <w:bottom w:val="single" w:sz="4" w:space="0" w:color="000000"/>
              <w:right w:val="single" w:sz="8" w:space="0" w:color="000000"/>
            </w:tcBorders>
            <w:shd w:val="clear" w:color="auto" w:fill="auto"/>
            <w:vAlign w:val="bottom"/>
          </w:tcPr>
          <w:p w:rsidR="00897424" w14:paraId="00000076"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Federal Oversight</w:t>
            </w:r>
          </w:p>
        </w:tc>
        <w:tc>
          <w:tcPr>
            <w:tcW w:w="1120" w:type="dxa"/>
            <w:tcBorders>
              <w:top w:val="single" w:sz="4" w:space="0" w:color="000000"/>
              <w:left w:val="nil"/>
              <w:bottom w:val="single" w:sz="4" w:space="0" w:color="000000"/>
              <w:right w:val="single" w:sz="4" w:space="0" w:color="000000"/>
            </w:tcBorders>
            <w:shd w:val="clear" w:color="auto" w:fill="auto"/>
            <w:vAlign w:val="bottom"/>
          </w:tcPr>
          <w:p w:rsidR="00897424" w14:paraId="00000077"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ZP-V</w:t>
            </w:r>
          </w:p>
        </w:tc>
        <w:tc>
          <w:tcPr>
            <w:tcW w:w="1140" w:type="dxa"/>
            <w:tcBorders>
              <w:top w:val="single" w:sz="4" w:space="0" w:color="000000"/>
              <w:left w:val="nil"/>
              <w:bottom w:val="single" w:sz="4" w:space="0" w:color="000000"/>
              <w:right w:val="single" w:sz="4" w:space="0" w:color="000000"/>
            </w:tcBorders>
            <w:shd w:val="clear" w:color="auto" w:fill="auto"/>
            <w:vAlign w:val="bottom"/>
          </w:tcPr>
          <w:p w:rsidR="00897424" w14:paraId="00000078"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$280,281</w:t>
            </w:r>
          </w:p>
        </w:tc>
        <w:tc>
          <w:tcPr>
            <w:tcW w:w="1120" w:type="dxa"/>
            <w:tcBorders>
              <w:top w:val="single" w:sz="4" w:space="0" w:color="000000"/>
              <w:left w:val="nil"/>
              <w:bottom w:val="single" w:sz="4" w:space="0" w:color="000000"/>
              <w:right w:val="single" w:sz="4" w:space="0" w:color="000000"/>
            </w:tcBorders>
            <w:shd w:val="clear" w:color="auto" w:fill="auto"/>
            <w:vAlign w:val="bottom"/>
          </w:tcPr>
          <w:p w:rsidR="00897424" w14:paraId="00000079"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5%</w:t>
            </w:r>
          </w:p>
        </w:tc>
        <w:tc>
          <w:tcPr>
            <w:tcW w:w="1280" w:type="dxa"/>
            <w:tcBorders>
              <w:top w:val="single" w:sz="4" w:space="0" w:color="000000"/>
              <w:left w:val="nil"/>
              <w:bottom w:val="single" w:sz="4" w:space="0" w:color="000000"/>
              <w:right w:val="single" w:sz="4" w:space="0" w:color="000000"/>
            </w:tcBorders>
            <w:shd w:val="clear" w:color="auto" w:fill="808080"/>
            <w:vAlign w:val="bottom"/>
          </w:tcPr>
          <w:p w:rsidR="00897424" w14:paraId="0000007A"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300" w:type="dxa"/>
            <w:tcBorders>
              <w:top w:val="single" w:sz="4" w:space="0" w:color="000000"/>
              <w:left w:val="nil"/>
              <w:bottom w:val="single" w:sz="4" w:space="0" w:color="000000"/>
              <w:right w:val="single" w:sz="8" w:space="0" w:color="000000"/>
            </w:tcBorders>
            <w:shd w:val="clear" w:color="auto" w:fill="auto"/>
            <w:vAlign w:val="bottom"/>
          </w:tcPr>
          <w:p w:rsidR="00897424" w14:paraId="0000007B"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$14,014</w:t>
            </w:r>
          </w:p>
        </w:tc>
      </w:tr>
      <w:tr w14:paraId="369829B3" w14:textId="77777777">
        <w:tblPrEx>
          <w:tblW w:w="8240" w:type="dxa"/>
          <w:tblInd w:w="-25" w:type="dxa"/>
          <w:tblLayout w:type="fixed"/>
          <w:tblLook w:val="0400"/>
        </w:tblPrEx>
        <w:trPr>
          <w:trHeight w:val="300"/>
        </w:trPr>
        <w:tc>
          <w:tcPr>
            <w:tcW w:w="2280" w:type="dxa"/>
            <w:tcBorders>
              <w:top w:val="nil"/>
              <w:left w:val="single" w:sz="8" w:space="0" w:color="000000"/>
              <w:bottom w:val="single" w:sz="4" w:space="0" w:color="000000"/>
              <w:right w:val="single" w:sz="8" w:space="0" w:color="000000"/>
            </w:tcBorders>
            <w:shd w:val="clear" w:color="auto" w:fill="auto"/>
            <w:vAlign w:val="bottom"/>
          </w:tcPr>
          <w:p w:rsidR="00897424" w14:paraId="0000007C"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Other Federal Positions</w:t>
            </w:r>
          </w:p>
        </w:tc>
        <w:tc>
          <w:tcPr>
            <w:tcW w:w="1120" w:type="dxa"/>
            <w:tcBorders>
              <w:top w:val="nil"/>
              <w:left w:val="nil"/>
              <w:bottom w:val="single" w:sz="4" w:space="0" w:color="000000"/>
              <w:right w:val="single" w:sz="4" w:space="0" w:color="000000"/>
            </w:tcBorders>
            <w:shd w:val="clear" w:color="auto" w:fill="auto"/>
            <w:vAlign w:val="bottom"/>
          </w:tcPr>
          <w:p w:rsidR="00897424" w14:paraId="0000007D"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ZP-III</w:t>
            </w:r>
          </w:p>
        </w:tc>
        <w:tc>
          <w:tcPr>
            <w:tcW w:w="1140" w:type="dxa"/>
            <w:tcBorders>
              <w:top w:val="nil"/>
              <w:left w:val="nil"/>
              <w:bottom w:val="single" w:sz="4" w:space="0" w:color="000000"/>
              <w:right w:val="single" w:sz="4" w:space="0" w:color="000000"/>
            </w:tcBorders>
            <w:shd w:val="clear" w:color="auto" w:fill="auto"/>
            <w:vAlign w:val="bottom"/>
          </w:tcPr>
          <w:p w:rsidR="00897424" w14:paraId="0000007E"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$169,571</w:t>
            </w:r>
          </w:p>
        </w:tc>
        <w:tc>
          <w:tcPr>
            <w:tcW w:w="1120" w:type="dxa"/>
            <w:tcBorders>
              <w:top w:val="nil"/>
              <w:left w:val="nil"/>
              <w:bottom w:val="single" w:sz="4" w:space="0" w:color="000000"/>
              <w:right w:val="single" w:sz="4" w:space="0" w:color="000000"/>
            </w:tcBorders>
            <w:shd w:val="clear" w:color="auto" w:fill="auto"/>
            <w:vAlign w:val="bottom"/>
          </w:tcPr>
          <w:p w:rsidR="00897424" w14:paraId="0000007F"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2%</w:t>
            </w:r>
          </w:p>
        </w:tc>
        <w:tc>
          <w:tcPr>
            <w:tcW w:w="1280" w:type="dxa"/>
            <w:tcBorders>
              <w:top w:val="nil"/>
              <w:left w:val="nil"/>
              <w:bottom w:val="single" w:sz="4" w:space="0" w:color="000000"/>
              <w:right w:val="single" w:sz="4" w:space="0" w:color="000000"/>
            </w:tcBorders>
            <w:shd w:val="clear" w:color="auto" w:fill="808080"/>
            <w:vAlign w:val="bottom"/>
          </w:tcPr>
          <w:p w:rsidR="00897424" w14:paraId="00000080"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300" w:type="dxa"/>
            <w:tcBorders>
              <w:top w:val="nil"/>
              <w:left w:val="nil"/>
              <w:bottom w:val="single" w:sz="4" w:space="0" w:color="000000"/>
              <w:right w:val="single" w:sz="8" w:space="0" w:color="000000"/>
            </w:tcBorders>
            <w:shd w:val="clear" w:color="auto" w:fill="auto"/>
            <w:vAlign w:val="bottom"/>
          </w:tcPr>
          <w:p w:rsidR="00897424" w14:paraId="00000081"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$ 3,391</w:t>
            </w:r>
          </w:p>
        </w:tc>
      </w:tr>
      <w:tr w14:paraId="0684891B" w14:textId="77777777">
        <w:tblPrEx>
          <w:tblW w:w="8240" w:type="dxa"/>
          <w:tblInd w:w="-25" w:type="dxa"/>
          <w:tblLayout w:type="fixed"/>
          <w:tblLook w:val="0400"/>
        </w:tblPrEx>
        <w:trPr>
          <w:trHeight w:val="345"/>
        </w:trPr>
        <w:tc>
          <w:tcPr>
            <w:tcW w:w="2280" w:type="dxa"/>
            <w:tcBorders>
              <w:top w:val="nil"/>
              <w:left w:val="single" w:sz="8" w:space="0" w:color="000000"/>
              <w:bottom w:val="single" w:sz="4" w:space="0" w:color="000000"/>
              <w:right w:val="single" w:sz="8" w:space="0" w:color="000000"/>
            </w:tcBorders>
            <w:shd w:val="clear" w:color="auto" w:fill="auto"/>
            <w:vAlign w:val="bottom"/>
          </w:tcPr>
          <w:p w:rsidR="00897424" w14:paraId="00000082"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Contractor Cost</w:t>
            </w:r>
          </w:p>
        </w:tc>
        <w:tc>
          <w:tcPr>
            <w:tcW w:w="1120" w:type="dxa"/>
            <w:tcBorders>
              <w:top w:val="nil"/>
              <w:left w:val="nil"/>
              <w:bottom w:val="single" w:sz="4" w:space="0" w:color="000000"/>
              <w:right w:val="single" w:sz="4" w:space="0" w:color="000000"/>
            </w:tcBorders>
            <w:shd w:val="clear" w:color="auto" w:fill="808080"/>
            <w:vAlign w:val="bottom"/>
          </w:tcPr>
          <w:p w:rsidR="00897424" w14:paraId="00000083"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40" w:type="dxa"/>
            <w:tcBorders>
              <w:top w:val="nil"/>
              <w:left w:val="nil"/>
              <w:bottom w:val="single" w:sz="4" w:space="0" w:color="000000"/>
              <w:right w:val="single" w:sz="4" w:space="0" w:color="000000"/>
            </w:tcBorders>
            <w:shd w:val="clear" w:color="auto" w:fill="auto"/>
            <w:vAlign w:val="bottom"/>
          </w:tcPr>
          <w:p w:rsidR="00897424" w14:paraId="00000084"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$100,000</w:t>
            </w:r>
          </w:p>
        </w:tc>
        <w:tc>
          <w:tcPr>
            <w:tcW w:w="1120" w:type="dxa"/>
            <w:tcBorders>
              <w:top w:val="nil"/>
              <w:left w:val="nil"/>
              <w:bottom w:val="single" w:sz="4" w:space="0" w:color="000000"/>
              <w:right w:val="single" w:sz="4" w:space="0" w:color="000000"/>
            </w:tcBorders>
            <w:shd w:val="clear" w:color="auto" w:fill="auto"/>
            <w:vAlign w:val="bottom"/>
          </w:tcPr>
          <w:p w:rsidR="00897424" w14:paraId="00000085"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100%</w:t>
            </w:r>
          </w:p>
        </w:tc>
        <w:tc>
          <w:tcPr>
            <w:tcW w:w="1280" w:type="dxa"/>
            <w:tcBorders>
              <w:top w:val="nil"/>
              <w:left w:val="nil"/>
              <w:bottom w:val="single" w:sz="4" w:space="0" w:color="000000"/>
              <w:right w:val="single" w:sz="4" w:space="0" w:color="000000"/>
            </w:tcBorders>
            <w:shd w:val="clear" w:color="auto" w:fill="auto"/>
            <w:vAlign w:val="bottom"/>
          </w:tcPr>
          <w:p w:rsidR="00897424" w14:paraId="00000086"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300" w:type="dxa"/>
            <w:tcBorders>
              <w:top w:val="nil"/>
              <w:left w:val="nil"/>
              <w:bottom w:val="single" w:sz="4" w:space="0" w:color="000000"/>
              <w:right w:val="single" w:sz="8" w:space="0" w:color="000000"/>
            </w:tcBorders>
            <w:shd w:val="clear" w:color="auto" w:fill="auto"/>
            <w:vAlign w:val="bottom"/>
          </w:tcPr>
          <w:p w:rsidR="00897424" w14:paraId="00000087"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$100,000</w:t>
            </w:r>
          </w:p>
        </w:tc>
      </w:tr>
      <w:tr w14:paraId="258C7274" w14:textId="77777777">
        <w:tblPrEx>
          <w:tblW w:w="8240" w:type="dxa"/>
          <w:tblInd w:w="-25" w:type="dxa"/>
          <w:tblLayout w:type="fixed"/>
          <w:tblLook w:val="0400"/>
        </w:tblPrEx>
        <w:trPr>
          <w:trHeight w:val="300"/>
        </w:trPr>
        <w:tc>
          <w:tcPr>
            <w:tcW w:w="2280" w:type="dxa"/>
            <w:tcBorders>
              <w:top w:val="nil"/>
              <w:left w:val="single" w:sz="8" w:space="0" w:color="000000"/>
              <w:bottom w:val="single" w:sz="4" w:space="0" w:color="000000"/>
              <w:right w:val="single" w:sz="8" w:space="0" w:color="000000"/>
            </w:tcBorders>
            <w:shd w:val="clear" w:color="auto" w:fill="auto"/>
            <w:vAlign w:val="bottom"/>
          </w:tcPr>
          <w:p w:rsidR="00897424" w14:paraId="00000088"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Travel</w:t>
            </w:r>
          </w:p>
        </w:tc>
        <w:tc>
          <w:tcPr>
            <w:tcW w:w="1120" w:type="dxa"/>
            <w:tcBorders>
              <w:top w:val="nil"/>
              <w:left w:val="nil"/>
              <w:bottom w:val="single" w:sz="4" w:space="0" w:color="000000"/>
              <w:right w:val="single" w:sz="4" w:space="0" w:color="000000"/>
            </w:tcBorders>
            <w:shd w:val="clear" w:color="auto" w:fill="808080"/>
            <w:vAlign w:val="bottom"/>
          </w:tcPr>
          <w:p w:rsidR="00897424" w14:paraId="00000089"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40" w:type="dxa"/>
            <w:tcBorders>
              <w:top w:val="nil"/>
              <w:left w:val="nil"/>
              <w:bottom w:val="single" w:sz="4" w:space="0" w:color="000000"/>
              <w:right w:val="single" w:sz="4" w:space="0" w:color="000000"/>
            </w:tcBorders>
            <w:shd w:val="clear" w:color="auto" w:fill="808080"/>
            <w:vAlign w:val="bottom"/>
          </w:tcPr>
          <w:p w:rsidR="00897424" w14:paraId="0000008A"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20" w:type="dxa"/>
            <w:tcBorders>
              <w:top w:val="nil"/>
              <w:left w:val="nil"/>
              <w:bottom w:val="single" w:sz="4" w:space="0" w:color="000000"/>
              <w:right w:val="single" w:sz="4" w:space="0" w:color="000000"/>
            </w:tcBorders>
            <w:shd w:val="clear" w:color="auto" w:fill="808080"/>
            <w:vAlign w:val="bottom"/>
          </w:tcPr>
          <w:p w:rsidR="00897424" w14:paraId="0000008B"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280" w:type="dxa"/>
            <w:tcBorders>
              <w:top w:val="nil"/>
              <w:left w:val="nil"/>
              <w:bottom w:val="single" w:sz="4" w:space="0" w:color="000000"/>
              <w:right w:val="single" w:sz="4" w:space="0" w:color="000000"/>
            </w:tcBorders>
            <w:shd w:val="clear" w:color="auto" w:fill="808080"/>
            <w:vAlign w:val="bottom"/>
          </w:tcPr>
          <w:p w:rsidR="00897424" w14:paraId="0000008C"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300" w:type="dxa"/>
            <w:tcBorders>
              <w:top w:val="nil"/>
              <w:left w:val="nil"/>
              <w:bottom w:val="single" w:sz="4" w:space="0" w:color="000000"/>
              <w:right w:val="single" w:sz="8" w:space="0" w:color="000000"/>
            </w:tcBorders>
            <w:shd w:val="clear" w:color="auto" w:fill="auto"/>
            <w:vAlign w:val="bottom"/>
          </w:tcPr>
          <w:p w:rsidR="00897424" w14:paraId="0000008D"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r>
      <w:tr w14:paraId="180F94F9" w14:textId="77777777">
        <w:tblPrEx>
          <w:tblW w:w="8240" w:type="dxa"/>
          <w:tblInd w:w="-25" w:type="dxa"/>
          <w:tblLayout w:type="fixed"/>
          <w:tblLook w:val="0400"/>
        </w:tblPrEx>
        <w:trPr>
          <w:trHeight w:val="390"/>
        </w:trPr>
        <w:tc>
          <w:tcPr>
            <w:tcW w:w="2280" w:type="dxa"/>
            <w:tcBorders>
              <w:top w:val="nil"/>
              <w:left w:val="single" w:sz="8" w:space="0" w:color="000000"/>
              <w:bottom w:val="nil"/>
              <w:right w:val="single" w:sz="8" w:space="0" w:color="000000"/>
            </w:tcBorders>
            <w:shd w:val="clear" w:color="auto" w:fill="auto"/>
            <w:vAlign w:val="center"/>
          </w:tcPr>
          <w:p w:rsidR="00897424" w14:paraId="0000008E"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 xml:space="preserve">Other Costs: </w:t>
            </w:r>
          </w:p>
        </w:tc>
        <w:tc>
          <w:tcPr>
            <w:tcW w:w="1120" w:type="dxa"/>
            <w:tcBorders>
              <w:top w:val="nil"/>
              <w:left w:val="nil"/>
              <w:bottom w:val="single" w:sz="4" w:space="0" w:color="000000"/>
              <w:right w:val="single" w:sz="4" w:space="0" w:color="000000"/>
            </w:tcBorders>
            <w:shd w:val="clear" w:color="auto" w:fill="808080"/>
            <w:vAlign w:val="bottom"/>
          </w:tcPr>
          <w:p w:rsidR="00897424" w14:paraId="0000008F"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40" w:type="dxa"/>
            <w:tcBorders>
              <w:top w:val="nil"/>
              <w:left w:val="nil"/>
              <w:bottom w:val="single" w:sz="4" w:space="0" w:color="000000"/>
              <w:right w:val="single" w:sz="4" w:space="0" w:color="000000"/>
            </w:tcBorders>
            <w:shd w:val="clear" w:color="auto" w:fill="808080"/>
            <w:vAlign w:val="bottom"/>
          </w:tcPr>
          <w:p w:rsidR="00897424" w14:paraId="00000090"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20" w:type="dxa"/>
            <w:tcBorders>
              <w:top w:val="nil"/>
              <w:left w:val="nil"/>
              <w:bottom w:val="single" w:sz="4" w:space="0" w:color="000000"/>
              <w:right w:val="single" w:sz="4" w:space="0" w:color="000000"/>
            </w:tcBorders>
            <w:shd w:val="clear" w:color="auto" w:fill="808080"/>
            <w:vAlign w:val="bottom"/>
          </w:tcPr>
          <w:p w:rsidR="00897424" w14:paraId="00000091"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280" w:type="dxa"/>
            <w:tcBorders>
              <w:top w:val="nil"/>
              <w:left w:val="nil"/>
              <w:bottom w:val="single" w:sz="4" w:space="0" w:color="000000"/>
              <w:right w:val="single" w:sz="4" w:space="0" w:color="000000"/>
            </w:tcBorders>
            <w:shd w:val="clear" w:color="auto" w:fill="808080"/>
            <w:vAlign w:val="bottom"/>
          </w:tcPr>
          <w:p w:rsidR="00897424" w14:paraId="00000092"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300" w:type="dxa"/>
            <w:tcBorders>
              <w:top w:val="nil"/>
              <w:left w:val="nil"/>
              <w:bottom w:val="single" w:sz="4" w:space="0" w:color="000000"/>
              <w:right w:val="single" w:sz="8" w:space="0" w:color="000000"/>
            </w:tcBorders>
            <w:shd w:val="clear" w:color="auto" w:fill="auto"/>
            <w:vAlign w:val="bottom"/>
          </w:tcPr>
          <w:p w:rsidR="00897424" w14:paraId="00000093"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r>
      <w:tr w14:paraId="28D2DD37" w14:textId="77777777">
        <w:tblPrEx>
          <w:tblW w:w="8240" w:type="dxa"/>
          <w:tblInd w:w="-25" w:type="dxa"/>
          <w:tblLayout w:type="fixed"/>
          <w:tblLook w:val="0400"/>
        </w:tblPrEx>
        <w:trPr>
          <w:trHeight w:val="315"/>
        </w:trPr>
        <w:tc>
          <w:tcPr>
            <w:tcW w:w="2280" w:type="dxa"/>
            <w:tcBorders>
              <w:top w:val="single" w:sz="8" w:space="0" w:color="000000"/>
              <w:left w:val="single" w:sz="8" w:space="0" w:color="000000"/>
              <w:bottom w:val="single" w:sz="8" w:space="0" w:color="000000"/>
              <w:right w:val="single" w:sz="8" w:space="0" w:color="000000"/>
            </w:tcBorders>
            <w:shd w:val="clear" w:color="auto" w:fill="DDEBF7"/>
            <w:vAlign w:val="bottom"/>
          </w:tcPr>
          <w:p w:rsidR="00897424" w14:paraId="00000094" w14:textId="77777777">
            <w:pPr>
              <w:widowControl/>
              <w:rPr>
                <w:rFonts w:ascii="Calibri" w:eastAsia="Calibri" w:hAnsi="Calibri" w:cs="Calibri"/>
                <w:b/>
                <w:color w:val="000000"/>
                <w:sz w:val="16"/>
                <w:szCs w:val="16"/>
              </w:rPr>
            </w:pPr>
            <w:r>
              <w:rPr>
                <w:rFonts w:ascii="Calibri" w:eastAsia="Calibri" w:hAnsi="Calibri" w:cs="Calibri"/>
                <w:b/>
                <w:color w:val="000000"/>
                <w:sz w:val="16"/>
                <w:szCs w:val="16"/>
              </w:rPr>
              <w:t>TOTAL</w:t>
            </w:r>
          </w:p>
        </w:tc>
        <w:tc>
          <w:tcPr>
            <w:tcW w:w="1120" w:type="dxa"/>
            <w:tcBorders>
              <w:top w:val="single" w:sz="8" w:space="0" w:color="000000"/>
              <w:left w:val="nil"/>
              <w:bottom w:val="single" w:sz="8" w:space="0" w:color="000000"/>
              <w:right w:val="single" w:sz="8" w:space="0" w:color="000000"/>
            </w:tcBorders>
            <w:shd w:val="clear" w:color="auto" w:fill="808080"/>
            <w:vAlign w:val="bottom"/>
          </w:tcPr>
          <w:p w:rsidR="00897424" w14:paraId="00000095"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40" w:type="dxa"/>
            <w:tcBorders>
              <w:top w:val="single" w:sz="8" w:space="0" w:color="000000"/>
              <w:left w:val="nil"/>
              <w:bottom w:val="single" w:sz="8" w:space="0" w:color="000000"/>
              <w:right w:val="single" w:sz="8" w:space="0" w:color="000000"/>
            </w:tcBorders>
            <w:shd w:val="clear" w:color="auto" w:fill="808080"/>
            <w:vAlign w:val="bottom"/>
          </w:tcPr>
          <w:p w:rsidR="00897424" w14:paraId="00000096"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120" w:type="dxa"/>
            <w:tcBorders>
              <w:top w:val="single" w:sz="8" w:space="0" w:color="000000"/>
              <w:left w:val="nil"/>
              <w:bottom w:val="single" w:sz="8" w:space="0" w:color="000000"/>
              <w:right w:val="single" w:sz="8" w:space="0" w:color="000000"/>
            </w:tcBorders>
            <w:shd w:val="clear" w:color="auto" w:fill="757171"/>
            <w:vAlign w:val="bottom"/>
          </w:tcPr>
          <w:p w:rsidR="00897424" w14:paraId="00000097"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280" w:type="dxa"/>
            <w:tcBorders>
              <w:top w:val="single" w:sz="8" w:space="0" w:color="000000"/>
              <w:left w:val="nil"/>
              <w:bottom w:val="single" w:sz="8" w:space="0" w:color="000000"/>
              <w:right w:val="single" w:sz="8" w:space="0" w:color="000000"/>
            </w:tcBorders>
            <w:shd w:val="clear" w:color="auto" w:fill="666666"/>
            <w:vAlign w:val="bottom"/>
          </w:tcPr>
          <w:p w:rsidR="00897424" w14:paraId="00000098"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w:t>
            </w:r>
          </w:p>
        </w:tc>
        <w:tc>
          <w:tcPr>
            <w:tcW w:w="1300" w:type="dxa"/>
            <w:tcBorders>
              <w:top w:val="single" w:sz="8" w:space="0" w:color="000000"/>
              <w:left w:val="nil"/>
              <w:bottom w:val="single" w:sz="8" w:space="0" w:color="000000"/>
              <w:right w:val="single" w:sz="8" w:space="0" w:color="000000"/>
            </w:tcBorders>
            <w:shd w:val="clear" w:color="auto" w:fill="DDEBF7"/>
            <w:vAlign w:val="bottom"/>
          </w:tcPr>
          <w:p w:rsidR="00897424" w14:paraId="00000099" w14:textId="77777777">
            <w:pPr>
              <w:widowControl/>
              <w:rPr>
                <w:rFonts w:ascii="Calibri" w:eastAsia="Calibri" w:hAnsi="Calibri" w:cs="Calibri"/>
                <w:color w:val="000000"/>
                <w:sz w:val="16"/>
                <w:szCs w:val="16"/>
              </w:rPr>
            </w:pPr>
            <w:r>
              <w:rPr>
                <w:rFonts w:ascii="Calibri" w:eastAsia="Calibri" w:hAnsi="Calibri" w:cs="Calibri"/>
                <w:color w:val="000000"/>
                <w:sz w:val="16"/>
                <w:szCs w:val="16"/>
              </w:rPr>
              <w:t> $117,405</w:t>
            </w:r>
          </w:p>
        </w:tc>
      </w:tr>
    </w:tbl>
    <w:p w:rsidR="001A5F04" w:rsidP="001A5F04" w14:paraId="521C670F" w14:textId="77777777">
      <w:pPr>
        <w:pBdr>
          <w:top w:val="nil"/>
          <w:left w:val="nil"/>
          <w:bottom w:val="nil"/>
          <w:right w:val="nil"/>
          <w:between w:val="nil"/>
        </w:pBdr>
        <w:tabs>
          <w:tab w:val="left" w:pos="360"/>
        </w:tabs>
        <w:spacing w:before="80"/>
        <w:ind w:left="360"/>
        <w:rPr>
          <w:b/>
          <w:color w:val="000000"/>
        </w:rPr>
      </w:pPr>
    </w:p>
    <w:p w:rsidR="00897424" w:rsidRPr="001A5F04" w:rsidP="001A5F04" w14:paraId="0000009A" w14:textId="38FCB79A">
      <w:pPr>
        <w:pStyle w:val="ListParagraph"/>
        <w:numPr>
          <w:ilvl w:val="0"/>
          <w:numId w:val="3"/>
        </w:numPr>
        <w:pBdr>
          <w:top w:val="nil"/>
          <w:left w:val="nil"/>
          <w:bottom w:val="nil"/>
          <w:right w:val="nil"/>
          <w:between w:val="nil"/>
        </w:pBdr>
        <w:tabs>
          <w:tab w:val="left" w:pos="360"/>
        </w:tabs>
        <w:spacing w:before="80"/>
        <w:rPr>
          <w:b/>
          <w:color w:val="000000"/>
        </w:rPr>
      </w:pPr>
      <w:r w:rsidRPr="001A5F04">
        <w:rPr>
          <w:b/>
          <w:color w:val="000000"/>
        </w:rPr>
        <w:t>Explain the reasons for any program changes or adjustments reported in ROCIS.</w:t>
      </w:r>
    </w:p>
    <w:p w:rsidR="00897424" w14:paraId="0000009B" w14:textId="77777777">
      <w:pPr>
        <w:pBdr>
          <w:top w:val="nil"/>
          <w:left w:val="nil"/>
          <w:bottom w:val="nil"/>
          <w:right w:val="nil"/>
          <w:between w:val="nil"/>
        </w:pBdr>
        <w:tabs>
          <w:tab w:val="left" w:pos="360"/>
        </w:tabs>
        <w:spacing w:before="80"/>
      </w:pPr>
    </w:p>
    <w:p w:rsidR="00897424" w14:paraId="0000009C" w14:textId="77777777">
      <w:pPr>
        <w:pBdr>
          <w:top w:val="nil"/>
          <w:left w:val="nil"/>
          <w:bottom w:val="nil"/>
          <w:right w:val="nil"/>
          <w:between w:val="nil"/>
        </w:pBdr>
        <w:tabs>
          <w:tab w:val="left" w:pos="360"/>
        </w:tabs>
        <w:spacing w:before="80"/>
      </w:pPr>
      <w:r>
        <w:t>This is a ne</w:t>
      </w:r>
      <w:bookmarkStart w:id="1" w:name="_GoBack"/>
      <w:bookmarkEnd w:id="1"/>
      <w:r>
        <w:t>w information collection.</w:t>
      </w:r>
    </w:p>
    <w:p w:rsidR="00897424" w14:paraId="0000009D" w14:textId="77777777">
      <w:pPr>
        <w:pBdr>
          <w:top w:val="nil"/>
          <w:left w:val="nil"/>
          <w:bottom w:val="nil"/>
          <w:right w:val="nil"/>
          <w:between w:val="nil"/>
        </w:pBdr>
        <w:spacing w:before="7"/>
        <w:rPr>
          <w:b/>
          <w:color w:val="000000"/>
        </w:rPr>
      </w:pPr>
    </w:p>
    <w:p w:rsidR="00897424" w14:paraId="0000009E" w14:textId="77777777">
      <w:pPr>
        <w:numPr>
          <w:ilvl w:val="0"/>
          <w:numId w:val="3"/>
        </w:numPr>
        <w:pBdr>
          <w:top w:val="nil"/>
          <w:left w:val="nil"/>
          <w:bottom w:val="nil"/>
          <w:right w:val="nil"/>
          <w:between w:val="nil"/>
        </w:pBdr>
        <w:tabs>
          <w:tab w:val="left" w:pos="360"/>
        </w:tabs>
        <w:spacing w:before="80"/>
        <w:rPr>
          <w:b/>
          <w:color w:val="000000"/>
        </w:rPr>
      </w:pPr>
      <w:r>
        <w:rPr>
          <w:b/>
          <w:color w:val="000000"/>
        </w:rPr>
        <w:t>For collections of information whose results will be published, outline plans for tabulation and publication. Address any complex analytical techniques that will be used. Provide the time schedule for the entire project, including beginning and ending date</w:t>
      </w:r>
      <w:r>
        <w:rPr>
          <w:b/>
          <w:color w:val="000000"/>
        </w:rPr>
        <w:t>s of the collection of information, completion of report, publication dates, and other actions.</w:t>
      </w:r>
    </w:p>
    <w:p w:rsidR="00897424" w14:paraId="0000009F" w14:textId="77777777">
      <w:pPr>
        <w:pBdr>
          <w:top w:val="nil"/>
          <w:left w:val="nil"/>
          <w:bottom w:val="nil"/>
          <w:right w:val="nil"/>
          <w:between w:val="nil"/>
        </w:pBdr>
        <w:spacing w:before="160"/>
      </w:pPr>
      <w:r>
        <w:t>No peer-reviewed publications from this collection are planned. However, a final report that aggregates the results will be posted on the NWS website as require</w:t>
      </w:r>
      <w:r>
        <w:t>d for research funded by the government.</w:t>
      </w:r>
    </w:p>
    <w:p w:rsidR="00897424" w14:paraId="000000A0" w14:textId="77777777">
      <w:pPr>
        <w:pBdr>
          <w:top w:val="nil"/>
          <w:left w:val="nil"/>
          <w:bottom w:val="nil"/>
          <w:right w:val="nil"/>
          <w:between w:val="nil"/>
        </w:pBdr>
        <w:spacing w:before="160"/>
      </w:pPr>
    </w:p>
    <w:p w:rsidR="00897424" w14:paraId="000000A1" w14:textId="77777777">
      <w:pPr>
        <w:numPr>
          <w:ilvl w:val="0"/>
          <w:numId w:val="3"/>
        </w:numPr>
        <w:pBdr>
          <w:top w:val="nil"/>
          <w:left w:val="nil"/>
          <w:bottom w:val="nil"/>
          <w:right w:val="nil"/>
          <w:between w:val="nil"/>
        </w:pBdr>
        <w:tabs>
          <w:tab w:val="left" w:pos="360"/>
        </w:tabs>
        <w:spacing w:before="80"/>
        <w:rPr>
          <w:b/>
          <w:color w:val="000000"/>
        </w:rPr>
      </w:pPr>
      <w:r>
        <w:rPr>
          <w:b/>
          <w:color w:val="000000"/>
        </w:rPr>
        <w:t>If seeking approval to not display the expiration date for OMB approval of the information collection, explain the reasons that display would be inappropriate.</w:t>
      </w:r>
    </w:p>
    <w:p w:rsidR="00897424" w14:paraId="000000A2" w14:textId="77777777">
      <w:pPr>
        <w:spacing w:before="161"/>
      </w:pPr>
      <w:r>
        <w:t>The agency will display the expiration date for OMB ap</w:t>
      </w:r>
      <w:r>
        <w:t>proval of the information collection on all instruments.</w:t>
      </w:r>
    </w:p>
    <w:p w:rsidR="00897424" w14:paraId="000000A3" w14:textId="77777777">
      <w:pPr>
        <w:spacing w:before="161"/>
      </w:pPr>
    </w:p>
    <w:p w:rsidR="00897424" w14:paraId="000000A4" w14:textId="77777777">
      <w:pPr>
        <w:numPr>
          <w:ilvl w:val="0"/>
          <w:numId w:val="3"/>
        </w:numPr>
        <w:pBdr>
          <w:top w:val="nil"/>
          <w:left w:val="nil"/>
          <w:bottom w:val="nil"/>
          <w:right w:val="nil"/>
          <w:between w:val="nil"/>
        </w:pBdr>
        <w:tabs>
          <w:tab w:val="left" w:pos="360"/>
        </w:tabs>
        <w:spacing w:before="80"/>
        <w:rPr>
          <w:b/>
          <w:color w:val="000000"/>
        </w:rPr>
      </w:pPr>
      <w:r>
        <w:rPr>
          <w:b/>
          <w:color w:val="000000"/>
        </w:rPr>
        <w:t>Explain each exception to the certification statement identified in “Certification for Paperwork Reduction Act Submissions."</w:t>
      </w:r>
    </w:p>
    <w:p w:rsidR="00897424" w14:paraId="000000A5" w14:textId="77777777">
      <w:pPr>
        <w:spacing w:before="221" w:line="259" w:lineRule="auto"/>
        <w:rPr>
          <w:color w:val="1F497D"/>
        </w:rPr>
      </w:pPr>
      <w:r>
        <w:t xml:space="preserve">The agency certifies compliance with </w:t>
      </w:r>
      <w:hyperlink r:id="rId7">
        <w:r>
          <w:rPr>
            <w:color w:val="0563C1"/>
            <w:u w:val="single"/>
          </w:rPr>
          <w:t>5 CFR 1320.9</w:t>
        </w:r>
      </w:hyperlink>
      <w:hyperlink r:id="rId7">
        <w:r>
          <w:rPr>
            <w:color w:val="0563C1"/>
          </w:rPr>
          <w:t xml:space="preserve"> </w:t>
        </w:r>
      </w:hyperlink>
      <w:r>
        <w:t xml:space="preserve">and the related provisions of </w:t>
      </w:r>
      <w:hyperlink r:id="rId8">
        <w:r>
          <w:rPr>
            <w:color w:val="0563C1"/>
            <w:u w:val="single"/>
          </w:rPr>
          <w:t>5 CFR</w:t>
        </w:r>
      </w:hyperlink>
      <w:r>
        <w:rPr>
          <w:color w:val="0563C1"/>
        </w:rPr>
        <w:t xml:space="preserve"> </w:t>
      </w:r>
      <w:hyperlink r:id="rId8">
        <w:r>
          <w:rPr>
            <w:color w:val="0563C1"/>
            <w:u w:val="single"/>
          </w:rPr>
          <w:t>1320.8(b)(3)</w:t>
        </w:r>
      </w:hyperlink>
      <w:r>
        <w:t>.</w:t>
      </w:r>
    </w:p>
    <w:sectPr>
      <w:pgSz w:w="12240" w:h="15840"/>
      <w:pgMar w:top="640" w:right="1080" w:bottom="1200" w:left="1080" w:header="0" w:footer="101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7424" w14:paraId="000000A6" w14:textId="7AA99E9C">
    <w:pPr>
      <w:pBdr>
        <w:top w:val="nil"/>
        <w:left w:val="nil"/>
        <w:bottom w:val="nil"/>
        <w:right w:val="nil"/>
        <w:between w:val="nil"/>
      </w:pBdr>
      <w:spacing w:line="14" w:lineRule="auto"/>
      <w:jc w:val="right"/>
      <w:rPr>
        <w:color w:val="000000"/>
        <w:sz w:val="20"/>
        <w:szCs w:val="20"/>
      </w:rPr>
    </w:pPr>
    <w:r>
      <w:rPr>
        <w:b/>
      </w:rPr>
      <w:fldChar w:fldCharType="begin"/>
    </w:r>
    <w:r>
      <w:rPr>
        <w:b/>
      </w:rPr>
      <w:instrText>PAGE</w:instrText>
    </w:r>
    <w:r w:rsidR="007C2D5D">
      <w:rPr>
        <w:b/>
      </w:rPr>
      <w:fldChar w:fldCharType="separate"/>
    </w:r>
    <w:r w:rsidR="007C2D5D">
      <w:rPr>
        <w:b/>
        <w:noProof/>
      </w:rPr>
      <w:t>1</w:t>
    </w:r>
    <w:r>
      <w:rPr>
        <w:b/>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D14FC7"/>
    <w:multiLevelType w:val="multilevel"/>
    <w:tmpl w:val="884A1F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26AA7A21"/>
    <w:multiLevelType w:val="hybridMultilevel"/>
    <w:tmpl w:val="40CEA9B4"/>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282E1BD8"/>
    <w:multiLevelType w:val="multilevel"/>
    <w:tmpl w:val="D2521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6B706D83"/>
    <w:multiLevelType w:val="multilevel"/>
    <w:tmpl w:val="317A773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424"/>
    <w:rsid w:val="001A5F04"/>
    <w:rsid w:val="007C2D5D"/>
    <w:rsid w:val="0089742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A7A82E8"/>
  <w15:docId w15:val="{B680A0F1-168B-4371-B14D-5B9EE48D4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uiPriority w:val="9"/>
    <w:qFormat/>
    <w:pPr>
      <w:spacing w:before="80"/>
      <w:ind w:left="40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spacing w:before="161"/>
      <w:ind w:left="400"/>
    </w:pPr>
  </w:style>
  <w:style w:type="paragraph" w:styleId="ListParagraph">
    <w:name w:val="List Paragraph"/>
    <w:basedOn w:val="Normal"/>
    <w:uiPriority w:val="1"/>
    <w:qFormat/>
    <w:pPr>
      <w:spacing w:before="161"/>
      <w:ind w:left="112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D1431"/>
    <w:rPr>
      <w:sz w:val="16"/>
      <w:szCs w:val="16"/>
    </w:rPr>
  </w:style>
  <w:style w:type="paragraph" w:styleId="CommentText">
    <w:name w:val="annotation text"/>
    <w:basedOn w:val="Normal"/>
    <w:link w:val="CommentTextChar"/>
    <w:uiPriority w:val="99"/>
    <w:semiHidden/>
    <w:unhideWhenUsed/>
    <w:rsid w:val="00AD1431"/>
    <w:pPr>
      <w:widowControl/>
      <w:spacing w:after="149"/>
      <w:ind w:left="426" w:hanging="10"/>
    </w:pPr>
    <w:rPr>
      <w:color w:val="2E5395"/>
      <w:sz w:val="20"/>
      <w:szCs w:val="20"/>
    </w:rPr>
  </w:style>
  <w:style w:type="character" w:customStyle="1" w:styleId="CommentTextChar">
    <w:name w:val="Comment Text Char"/>
    <w:basedOn w:val="DefaultParagraphFont"/>
    <w:link w:val="CommentText"/>
    <w:uiPriority w:val="99"/>
    <w:semiHidden/>
    <w:rsid w:val="00AD1431"/>
    <w:rPr>
      <w:rFonts w:ascii="Arial" w:eastAsia="Arial" w:hAnsi="Arial" w:cs="Arial"/>
      <w:color w:val="2E5395"/>
      <w:sz w:val="20"/>
      <w:szCs w:val="20"/>
    </w:rPr>
  </w:style>
  <w:style w:type="paragraph" w:styleId="BalloonText">
    <w:name w:val="Balloon Text"/>
    <w:basedOn w:val="Normal"/>
    <w:link w:val="BalloonTextChar"/>
    <w:uiPriority w:val="99"/>
    <w:semiHidden/>
    <w:unhideWhenUsed/>
    <w:rsid w:val="00AD14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431"/>
    <w:rPr>
      <w:rFonts w:ascii="Segoe UI" w:eastAsia="Arial" w:hAnsi="Segoe UI" w:cs="Segoe UI"/>
      <w:sz w:val="18"/>
      <w:szCs w:val="18"/>
      <w:lang w:bidi="en-US"/>
    </w:rPr>
  </w:style>
  <w:style w:type="paragraph" w:styleId="Header">
    <w:name w:val="header"/>
    <w:basedOn w:val="Normal"/>
    <w:link w:val="HeaderChar"/>
    <w:uiPriority w:val="99"/>
    <w:unhideWhenUsed/>
    <w:rsid w:val="00F27520"/>
    <w:pPr>
      <w:tabs>
        <w:tab w:val="center" w:pos="4680"/>
        <w:tab w:val="right" w:pos="9360"/>
      </w:tabs>
    </w:pPr>
  </w:style>
  <w:style w:type="character" w:customStyle="1" w:styleId="HeaderChar">
    <w:name w:val="Header Char"/>
    <w:basedOn w:val="DefaultParagraphFont"/>
    <w:link w:val="Header"/>
    <w:uiPriority w:val="99"/>
    <w:rsid w:val="00F27520"/>
  </w:style>
  <w:style w:type="paragraph" w:styleId="Footer">
    <w:name w:val="footer"/>
    <w:basedOn w:val="Normal"/>
    <w:link w:val="FooterChar"/>
    <w:uiPriority w:val="99"/>
    <w:unhideWhenUsed/>
    <w:rsid w:val="00F27520"/>
    <w:pPr>
      <w:tabs>
        <w:tab w:val="center" w:pos="4680"/>
        <w:tab w:val="right" w:pos="9360"/>
      </w:tabs>
    </w:pPr>
  </w:style>
  <w:style w:type="character" w:customStyle="1" w:styleId="FooterChar">
    <w:name w:val="Footer Char"/>
    <w:basedOn w:val="DefaultParagraphFont"/>
    <w:link w:val="Footer"/>
    <w:uiPriority w:val="99"/>
    <w:rsid w:val="00F27520"/>
  </w:style>
  <w:style w:type="character" w:styleId="Hyperlink">
    <w:name w:val="Hyperlink"/>
    <w:basedOn w:val="DefaultParagraphFont"/>
    <w:uiPriority w:val="99"/>
    <w:unhideWhenUsed/>
    <w:rsid w:val="00F0299B"/>
    <w:rPr>
      <w:color w:val="0000FF" w:themeColor="hyperlink"/>
      <w:u w:val="single"/>
    </w:rPr>
  </w:style>
  <w:style w:type="character" w:styleId="FollowedHyperlink">
    <w:name w:val="FollowedHyperlink"/>
    <w:basedOn w:val="DefaultParagraphFont"/>
    <w:uiPriority w:val="99"/>
    <w:semiHidden/>
    <w:unhideWhenUsed/>
    <w:rsid w:val="00F0299B"/>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
    <w:tblPr>
      <w:tblStyleRowBandSize w:val="1"/>
      <w:tblStyleColBandSize w:val="1"/>
      <w:tblCellMar>
        <w:left w:w="0" w:type="dxa"/>
        <w:right w:w="0" w:type="dxa"/>
      </w:tblCellMar>
    </w:tblPr>
  </w:style>
  <w:style w:type="table" w:customStyle="1" w:styleId="a0">
    <w:name w:val="a0"/>
    <w:basedOn w:val="TableNormal"/>
    <w:tblPr>
      <w:tblStyleRowBandSize w:val="1"/>
      <w:tblStyleColBandSize w:val="1"/>
      <w:tblCellMar>
        <w:left w:w="115" w:type="dxa"/>
        <w:right w:w="115" w:type="dxa"/>
      </w:tblCellMar>
    </w:tblPr>
  </w:style>
  <w:style w:type="table" w:customStyle="1" w:styleId="a1">
    <w:name w:val="a1"/>
    <w:basedOn w:val="TableNormal"/>
    <w:tblPr>
      <w:tblStyleRowBandSize w:val="1"/>
      <w:tblStyleColBandSize w:val="1"/>
      <w:tblCellMar>
        <w:left w:w="115" w:type="dxa"/>
        <w:right w:w="115" w:type="dxa"/>
      </w:tblCellMar>
    </w:tblPr>
  </w:style>
  <w:style w:type="table" w:customStyle="1" w:styleId="a2">
    <w:name w:val="a2"/>
    <w:basedOn w:val="TableNormal"/>
    <w:tblPr>
      <w:tblStyleRowBandSize w:val="1"/>
      <w:tblStyleColBandSize w:val="1"/>
      <w:tblCellMar>
        <w:left w:w="115" w:type="dxa"/>
        <w:right w:w="115" w:type="dxa"/>
      </w:tblCellMar>
    </w:tblPr>
  </w:style>
  <w:style w:type="table" w:customStyle="1" w:styleId="a3">
    <w:name w:val="a3"/>
    <w:basedOn w:val="TableNormal"/>
    <w:tblPr>
      <w:tblStyleRowBandSize w:val="1"/>
      <w:tblStyleColBandSize w:val="1"/>
      <w:tblCellMar>
        <w:left w:w="115" w:type="dxa"/>
        <w:right w:w="115" w:type="dxa"/>
      </w:tblCellMar>
    </w:tblPr>
  </w:style>
  <w:style w:type="table" w:customStyle="1" w:styleId="a4">
    <w:name w:val="a4"/>
    <w:basedOn w:val="TableNormal"/>
    <w:tblPr>
      <w:tblStyleRowBandSize w:val="1"/>
      <w:tblStyleColBandSize w:val="1"/>
      <w:tblCellMar>
        <w:left w:w="115" w:type="dxa"/>
        <w:right w:w="115" w:type="dxa"/>
      </w:tblCellMar>
    </w:tblPr>
  </w:style>
  <w:style w:type="table" w:customStyle="1" w:styleId="a5">
    <w:name w:val="a5"/>
    <w:basedOn w:val="TableNormal"/>
    <w:tblPr>
      <w:tblStyleRowBandSize w:val="1"/>
      <w:tblStyleColBandSize w:val="1"/>
      <w:tblCellMar>
        <w:left w:w="0" w:type="dxa"/>
        <w:right w:w="0" w:type="dxa"/>
      </w:tblCellMar>
    </w:tblPr>
  </w:style>
  <w:style w:type="paragraph" w:styleId="NormalWeb">
    <w:name w:val="Normal (Web)"/>
    <w:basedOn w:val="Normal"/>
    <w:uiPriority w:val="99"/>
    <w:unhideWhenUsed/>
    <w:rsid w:val="00320561"/>
    <w:pPr>
      <w:widowControl/>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88204B"/>
    <w:pPr>
      <w:widowControl w:val="0"/>
      <w:spacing w:after="0"/>
      <w:ind w:left="0" w:firstLine="0"/>
    </w:pPr>
    <w:rPr>
      <w:b/>
      <w:bCs/>
      <w:color w:val="auto"/>
    </w:rPr>
  </w:style>
  <w:style w:type="character" w:customStyle="1" w:styleId="CommentSubjectChar">
    <w:name w:val="Comment Subject Char"/>
    <w:basedOn w:val="CommentTextChar"/>
    <w:link w:val="CommentSubject"/>
    <w:uiPriority w:val="99"/>
    <w:semiHidden/>
    <w:rsid w:val="0088204B"/>
    <w:rPr>
      <w:rFonts w:ascii="Arial" w:eastAsia="Arial" w:hAnsi="Arial" w:cs="Arial"/>
      <w:b/>
      <w:bCs/>
      <w:color w:val="2E5395"/>
      <w:sz w:val="20"/>
      <w:szCs w:val="20"/>
    </w:rPr>
  </w:style>
  <w:style w:type="table" w:customStyle="1" w:styleId="a6">
    <w:name w:val="a6"/>
    <w:basedOn w:val="TableNormal"/>
    <w:tblPr>
      <w:tblStyleRowBandSize w:val="1"/>
      <w:tblStyleColBandSize w:val="1"/>
      <w:tblCellMar>
        <w:left w:w="0" w:type="dxa"/>
        <w:right w:w="0" w:type="dxa"/>
      </w:tblCellMar>
    </w:tblPr>
  </w:style>
  <w:style w:type="table" w:customStyle="1" w:styleId="a7">
    <w:name w:val="a7"/>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google.com/document/d/1yrNuWO0Bj4WDsKOmaFt0LJGeVLSJZwG7/edit" TargetMode="External" /><Relationship Id="rId6" Type="http://schemas.openxmlformats.org/officeDocument/2006/relationships/footer" Target="footer1.xml" /><Relationship Id="rId7" Type="http://schemas.openxmlformats.org/officeDocument/2006/relationships/hyperlink" Target="http://www.gpo.gov/fdsys/pkg/CFR-2014-title5-vol3/pdf/CFR-2014-title5-vol3-sec1320-9.pdf" TargetMode="External" /><Relationship Id="rId8" Type="http://schemas.openxmlformats.org/officeDocument/2006/relationships/hyperlink" Target="http://www.gpo.gov/fdsys/pkg/CFR-2014-title5-vol3/pdf/CFR-2014-title5-vol3-sec1320-8.pdf"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nn3DEjVZlC2oSvx9NMsBRToxQw==">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2400</Words>
  <Characters>13680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Dumas, Sheleen (Federal)</dc:creator>
  <cp:lastModifiedBy>Adrienne.Thomas</cp:lastModifiedBy>
  <cp:revision>3</cp:revision>
  <dcterms:created xsi:type="dcterms:W3CDTF">2024-03-12T16:01:00Z</dcterms:created>
  <dcterms:modified xsi:type="dcterms:W3CDTF">2024-03-12T16:05:00Z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2020-05-06T00:00:00Z</vt:filetime>
  </property>
  <property fmtid="{D5CDD505-2E9C-101B-9397-08002B2CF9AE}" pid="3" name="Creator">
    <vt:lpwstr>Acrobat PDFMaker 17 for Word</vt:lpwstr>
  </property>
  <property fmtid="{D5CDD505-2E9C-101B-9397-08002B2CF9AE}" pid="4" name="LastSaved">
    <vt:filetime>2020-05-07T00:00:00Z</vt:filetime>
  </property>
</Properties>
</file>