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0A6098" w14:paraId="1FD9A04E" w14:textId="77777777">
      <w:pPr>
        <w:widowControl/>
        <w:rPr>
          <w:b/>
        </w:rPr>
      </w:pPr>
    </w:p>
    <w:p w:rsidR="000A6098" w14:paraId="1FD9A04F" w14:textId="77777777">
      <w:pPr>
        <w:widowControl/>
        <w:rPr>
          <w:b/>
        </w:rPr>
      </w:pPr>
    </w:p>
    <w:p w:rsidR="000A6098" w14:paraId="1FD9A050" w14:textId="77777777">
      <w:pPr>
        <w:widowControl/>
        <w:rPr>
          <w:b/>
        </w:rPr>
      </w:pPr>
    </w:p>
    <w:p w:rsidR="000A6098" w14:paraId="1FD9A051" w14:textId="77777777">
      <w:pPr>
        <w:widowControl/>
        <w:rPr>
          <w:b/>
        </w:rPr>
      </w:pPr>
    </w:p>
    <w:p w:rsidR="000A6098" w14:paraId="1FD9A052" w14:textId="77777777">
      <w:pPr>
        <w:widowControl/>
        <w:rPr>
          <w:b/>
        </w:rPr>
      </w:pPr>
    </w:p>
    <w:p w:rsidR="000A6098" w14:paraId="1FD9A053" w14:textId="77777777">
      <w:pPr>
        <w:widowControl/>
        <w:rPr>
          <w:b/>
        </w:rPr>
      </w:pPr>
    </w:p>
    <w:p w:rsidR="000A6098" w14:paraId="1FD9A054" w14:textId="77777777">
      <w:pPr>
        <w:widowControl/>
        <w:rPr>
          <w:b/>
          <w:sz w:val="28"/>
        </w:rPr>
      </w:pPr>
    </w:p>
    <w:p w:rsidR="000725A7" w:rsidP="000725A7" w14:paraId="1FD9A055" w14:textId="77777777">
      <w:pPr>
        <w:widowControl/>
        <w:tabs>
          <w:tab w:val="center" w:pos="3960"/>
        </w:tabs>
        <w:jc w:val="center"/>
        <w:rPr>
          <w:b/>
          <w:sz w:val="28"/>
        </w:rPr>
      </w:pPr>
      <w:r>
        <w:rPr>
          <w:b/>
          <w:sz w:val="28"/>
        </w:rPr>
        <w:t>SUPPORTING STATEMENT</w:t>
      </w:r>
      <w:r>
        <w:rPr>
          <w:b/>
          <w:sz w:val="28"/>
        </w:rPr>
        <w:t xml:space="preserve"> </w:t>
      </w:r>
      <w:r>
        <w:rPr>
          <w:b/>
          <w:sz w:val="28"/>
        </w:rPr>
        <w:t xml:space="preserve">FOR EXTENSION </w:t>
      </w:r>
    </w:p>
    <w:p w:rsidR="000A6098" w:rsidP="000725A7" w14:paraId="1FD9A056" w14:textId="77777777">
      <w:pPr>
        <w:widowControl/>
        <w:tabs>
          <w:tab w:val="center" w:pos="3960"/>
        </w:tabs>
        <w:jc w:val="center"/>
        <w:rPr>
          <w:b/>
          <w:sz w:val="28"/>
        </w:rPr>
      </w:pPr>
      <w:r>
        <w:rPr>
          <w:b/>
          <w:sz w:val="28"/>
        </w:rPr>
        <w:t>OF OMB APPROVAL OF</w:t>
      </w:r>
    </w:p>
    <w:p w:rsidR="000A6098" w:rsidP="000725A7" w14:paraId="1FD9A057" w14:textId="77777777">
      <w:pPr>
        <w:widowControl/>
        <w:jc w:val="center"/>
        <w:rPr>
          <w:b/>
          <w:sz w:val="28"/>
        </w:rPr>
      </w:pPr>
      <w:r>
        <w:rPr>
          <w:b/>
          <w:sz w:val="28"/>
        </w:rPr>
        <w:t>THE FOOD SECURITY SUPPLEMENT</w:t>
      </w:r>
    </w:p>
    <w:p w:rsidR="000A6098" w:rsidP="000725A7" w14:paraId="1FD9A058" w14:textId="77777777">
      <w:pPr>
        <w:widowControl/>
        <w:jc w:val="center"/>
        <w:rPr>
          <w:b/>
          <w:sz w:val="28"/>
        </w:rPr>
      </w:pPr>
      <w:r>
        <w:rPr>
          <w:b/>
          <w:sz w:val="28"/>
        </w:rPr>
        <w:t>TO THE</w:t>
      </w:r>
      <w:r w:rsidR="0063416D">
        <w:rPr>
          <w:b/>
          <w:sz w:val="28"/>
        </w:rPr>
        <w:t xml:space="preserve"> </w:t>
      </w:r>
      <w:r>
        <w:rPr>
          <w:b/>
          <w:sz w:val="28"/>
        </w:rPr>
        <w:t>CURRENT POPULATION SURVEY</w:t>
      </w:r>
    </w:p>
    <w:p w:rsidR="00D86581" w:rsidRPr="000725A7" w:rsidP="000725A7" w14:paraId="1FD9A059" w14:textId="77777777">
      <w:pPr>
        <w:widowControl/>
        <w:jc w:val="center"/>
        <w:rPr>
          <w:b/>
          <w:sz w:val="28"/>
        </w:rPr>
      </w:pPr>
      <w:r>
        <w:rPr>
          <w:b/>
          <w:sz w:val="28"/>
        </w:rPr>
        <w:t>(OMB Control # 0536-0043)</w:t>
      </w:r>
    </w:p>
    <w:p w:rsidR="000A6098" w14:paraId="1FD9A05A" w14:textId="77777777">
      <w:pPr>
        <w:widowControl/>
        <w:rPr>
          <w:sz w:val="28"/>
        </w:rPr>
      </w:pPr>
    </w:p>
    <w:p w:rsidR="000A6098" w14:paraId="1FD9A05B" w14:textId="77777777">
      <w:pPr>
        <w:widowControl/>
        <w:rPr>
          <w:sz w:val="28"/>
        </w:rPr>
      </w:pPr>
    </w:p>
    <w:p w:rsidR="000A6098" w14:paraId="1FD9A05C" w14:textId="77777777">
      <w:pPr>
        <w:widowControl/>
        <w:rPr>
          <w:sz w:val="28"/>
        </w:rPr>
      </w:pPr>
    </w:p>
    <w:p w:rsidR="00353344" w14:paraId="1FD9A05E" w14:textId="77777777">
      <w:pPr>
        <w:widowControl/>
        <w:tabs>
          <w:tab w:val="center" w:pos="3960"/>
        </w:tabs>
        <w:rPr>
          <w:b/>
          <w:sz w:val="28"/>
        </w:rPr>
      </w:pPr>
    </w:p>
    <w:p w:rsidR="000A6098" w14:paraId="1FD9A05F" w14:textId="77777777">
      <w:pPr>
        <w:widowControl/>
        <w:rPr>
          <w:b/>
          <w:sz w:val="28"/>
        </w:rPr>
      </w:pPr>
    </w:p>
    <w:p w:rsidR="000A6098" w14:paraId="1FD9A060" w14:textId="77777777">
      <w:pPr>
        <w:widowControl/>
        <w:rPr>
          <w:b/>
          <w:sz w:val="28"/>
        </w:rPr>
      </w:pPr>
    </w:p>
    <w:p w:rsidR="000A6098" w14:paraId="1FD9A061" w14:textId="77777777">
      <w:pPr>
        <w:widowControl/>
        <w:rPr>
          <w:b/>
        </w:rPr>
      </w:pPr>
    </w:p>
    <w:p w:rsidR="000A6098" w14:paraId="1FD9A062" w14:textId="77777777">
      <w:pPr>
        <w:widowControl/>
        <w:rPr>
          <w:b/>
        </w:rPr>
      </w:pPr>
    </w:p>
    <w:p w:rsidR="000A6098" w14:paraId="1FD9A063" w14:textId="77777777">
      <w:pPr>
        <w:widowControl/>
        <w:rPr>
          <w:b/>
        </w:rPr>
      </w:pPr>
    </w:p>
    <w:p w:rsidR="000A6098" w14:paraId="1FD9A064" w14:textId="77777777">
      <w:pPr>
        <w:widowControl/>
        <w:rPr>
          <w:b/>
        </w:rPr>
      </w:pPr>
    </w:p>
    <w:p w:rsidR="000A6098" w14:paraId="1FD9A065" w14:textId="77777777">
      <w:pPr>
        <w:widowControl/>
        <w:rPr>
          <w:b/>
        </w:rPr>
      </w:pPr>
    </w:p>
    <w:p w:rsidR="000A6098" w14:paraId="1FD9A066" w14:textId="77777777">
      <w:pPr>
        <w:widowControl/>
        <w:rPr>
          <w:b/>
        </w:rPr>
      </w:pPr>
    </w:p>
    <w:p w:rsidR="000A6098" w14:paraId="1FD9A067" w14:textId="77777777">
      <w:pPr>
        <w:widowControl/>
        <w:rPr>
          <w:b/>
        </w:rPr>
      </w:pPr>
    </w:p>
    <w:p w:rsidR="000A6098" w14:paraId="1FD9A068" w14:textId="77777777">
      <w:pPr>
        <w:widowControl/>
        <w:rPr>
          <w:b/>
        </w:rPr>
      </w:pPr>
    </w:p>
    <w:p w:rsidR="000A6098" w14:paraId="1FD9A069" w14:textId="77777777">
      <w:pPr>
        <w:widowControl/>
        <w:rPr>
          <w:b/>
        </w:rPr>
      </w:pPr>
    </w:p>
    <w:p w:rsidR="000A6098" w14:paraId="1FD9A06A" w14:textId="77777777">
      <w:pPr>
        <w:widowControl/>
        <w:rPr>
          <w:b/>
        </w:rPr>
      </w:pPr>
    </w:p>
    <w:p w:rsidR="000A6098" w14:paraId="1FD9A06B" w14:textId="77777777">
      <w:pPr>
        <w:widowControl/>
        <w:rPr>
          <w:b/>
        </w:rPr>
      </w:pPr>
    </w:p>
    <w:p w:rsidR="000A6098" w14:paraId="1FD9A06C" w14:textId="77777777">
      <w:pPr>
        <w:widowControl/>
        <w:rPr>
          <w:b/>
        </w:rPr>
      </w:pPr>
    </w:p>
    <w:p w:rsidR="000A6098" w14:paraId="1FD9A06D" w14:textId="77777777">
      <w:pPr>
        <w:widowControl/>
        <w:rPr>
          <w:b/>
          <w:sz w:val="28"/>
        </w:rPr>
      </w:pPr>
    </w:p>
    <w:p w:rsidR="000A6098" w14:paraId="1FD9A06E" w14:textId="77777777">
      <w:pPr>
        <w:widowControl/>
        <w:ind w:left="1440"/>
        <w:rPr>
          <w:sz w:val="28"/>
        </w:rPr>
      </w:pPr>
      <w:r>
        <w:rPr>
          <w:b/>
          <w:sz w:val="28"/>
        </w:rPr>
        <w:t>Submitted by:</w:t>
      </w:r>
    </w:p>
    <w:p w:rsidR="000A6098" w14:paraId="1FD9A06F" w14:textId="77777777">
      <w:pPr>
        <w:widowControl/>
        <w:rPr>
          <w:sz w:val="28"/>
        </w:rPr>
      </w:pPr>
    </w:p>
    <w:p w:rsidR="000A6098" w14:paraId="1FD9A070" w14:textId="77777777">
      <w:pPr>
        <w:widowControl/>
        <w:ind w:left="1440"/>
        <w:rPr>
          <w:sz w:val="28"/>
        </w:rPr>
      </w:pPr>
      <w:smartTag w:uri="urn:schemas-microsoft-com:office:smarttags" w:element="place">
        <w:smartTag w:uri="urn:schemas-microsoft-com:office:smarttags" w:element="country-region">
          <w:r>
            <w:rPr>
              <w:sz w:val="28"/>
            </w:rPr>
            <w:t>U.S.</w:t>
          </w:r>
        </w:smartTag>
      </w:smartTag>
      <w:r>
        <w:rPr>
          <w:sz w:val="28"/>
        </w:rPr>
        <w:t xml:space="preserve"> Department of Agriculture</w:t>
      </w:r>
    </w:p>
    <w:p w:rsidR="000A6098" w14:paraId="1FD9A071" w14:textId="77777777">
      <w:pPr>
        <w:widowControl/>
        <w:ind w:left="1440"/>
        <w:rPr>
          <w:sz w:val="28"/>
        </w:rPr>
      </w:pPr>
      <w:r>
        <w:rPr>
          <w:sz w:val="28"/>
        </w:rPr>
        <w:t>Economic Research Service</w:t>
      </w:r>
    </w:p>
    <w:p w:rsidR="000A6098" w:rsidP="00F04498" w14:paraId="1FD9A072" w14:textId="77777777">
      <w:pPr>
        <w:keepLines/>
        <w:widowControl/>
      </w:pPr>
      <w:r>
        <w:rPr>
          <w:b/>
        </w:rPr>
        <w:br w:type="page"/>
      </w:r>
      <w:r>
        <w:rPr>
          <w:b/>
        </w:rPr>
        <w:t xml:space="preserve">A. </w:t>
      </w:r>
      <w:r>
        <w:rPr>
          <w:b/>
          <w:u w:val="single"/>
        </w:rPr>
        <w:t>JUSTIFICATION</w:t>
      </w:r>
    </w:p>
    <w:p w:rsidR="000A6098" w:rsidP="00F04498" w14:paraId="1FD9A073" w14:textId="77777777">
      <w:pPr>
        <w:keepLines/>
        <w:widowControl/>
      </w:pPr>
    </w:p>
    <w:p w:rsidR="000A6098" w:rsidP="00CB3509" w14:paraId="1FD9A074" w14:textId="77777777">
      <w:pPr>
        <w:keepLines/>
        <w:widowControl/>
        <w:numPr>
          <w:ilvl w:val="0"/>
          <w:numId w:val="7"/>
        </w:numPr>
        <w:tabs>
          <w:tab w:val="left" w:pos="-1440"/>
        </w:tabs>
        <w:ind w:left="720"/>
        <w:rPr>
          <w:b/>
        </w:rPr>
      </w:pPr>
      <w:r w:rsidRPr="00CB3509">
        <w:rPr>
          <w:b/>
        </w:rPr>
        <w:t>Explain the circumstances that make the collection of information necessary. Identify any legal or administrative requirements that necessitate the collection. Attach a copy of the appropriate section of each statute and regulation mandating or authorizing the collection of information.</w:t>
      </w:r>
      <w:r>
        <w:rPr>
          <w:b/>
        </w:rPr>
        <w:t xml:space="preserve"> </w:t>
      </w:r>
    </w:p>
    <w:p w:rsidR="00712655" w:rsidP="00564F16" w14:paraId="1FD9A075" w14:textId="77777777">
      <w:pPr>
        <w:keepLines/>
        <w:widowControl/>
      </w:pPr>
    </w:p>
    <w:p w:rsidR="00712655" w:rsidP="006539C3" w14:paraId="1FD9A076" w14:textId="77777777">
      <w:pPr>
        <w:widowControl/>
        <w:ind w:left="720"/>
      </w:pPr>
      <w:r>
        <w:t xml:space="preserve">The Economic Research Service (ERS) of the U.S. Department of Agriculture (USDA) is requesting OMB clearance for ongoing fielding of the USDA Food Security Supplement to the Current Population Survey (CPS), which has been fielded annually since 1995. </w:t>
      </w:r>
      <w:r w:rsidRPr="008B3837">
        <w:t>Food securit</w:t>
      </w:r>
      <w:r w:rsidR="00A42063">
        <w:t xml:space="preserve">y means that </w:t>
      </w:r>
      <w:r w:rsidRPr="00A42063" w:rsidR="00A42063">
        <w:t>households had access, at all times, to enough food for an active, healthy life for all household members.</w:t>
      </w:r>
      <w:r w:rsidR="00A42063">
        <w:t xml:space="preserve"> </w:t>
      </w:r>
      <w:r w:rsidRPr="008B3837">
        <w:t xml:space="preserve">Food insecurity </w:t>
      </w:r>
      <w:r>
        <w:t xml:space="preserve">means that </w:t>
      </w:r>
      <w:r w:rsidR="00A42063">
        <w:t>a</w:t>
      </w:r>
      <w:r w:rsidRPr="00A42063" w:rsidR="00A42063">
        <w:t>t times during the year, these households were uncertain of having or unable to acquire enough food to meet the needs of all their members because they had insufficient money or other resources for food. Food-insecure households include those with low food security and very low food security.</w:t>
      </w:r>
      <w:r>
        <w:t xml:space="preserve"> Very low food security is a severe range of food insecurity in which eating patterns of one or more household members </w:t>
      </w:r>
      <w:r w:rsidR="00A42063">
        <w:t>we</w:t>
      </w:r>
      <w:r>
        <w:t xml:space="preserve">re disrupted and their food intake </w:t>
      </w:r>
      <w:r w:rsidR="00A42063">
        <w:t>was</w:t>
      </w:r>
      <w:r>
        <w:t xml:space="preserve"> reduced at time</w:t>
      </w:r>
      <w:r w:rsidR="00A42063">
        <w:t>s</w:t>
      </w:r>
      <w:r>
        <w:t xml:space="preserve"> during the year because they could not afford enough food. The supplement was successfully fielded by the U.S. Census Bureau under the sponsorship of ERS from 1998-2023</w:t>
      </w:r>
      <w:r w:rsidR="00D80BC6">
        <w:t xml:space="preserve"> (with fielding planned in December 2024)</w:t>
      </w:r>
      <w:r>
        <w:t xml:space="preserve">, and previously, under the sponsorship of the USDA’s Food and Nutrition Service (FNS) from 1995-1997. The survey instrument is included as Attachment A. </w:t>
      </w:r>
      <w:r w:rsidRPr="00AD71A9">
        <w:t xml:space="preserve">The </w:t>
      </w:r>
      <w:r>
        <w:t xml:space="preserve">content of the </w:t>
      </w:r>
      <w:r w:rsidRPr="00AD71A9">
        <w:t>questionnaire is</w:t>
      </w:r>
      <w:r>
        <w:t xml:space="preserve"> unchanged from the previous authorization for data collection.  </w:t>
      </w:r>
      <w:r w:rsidRPr="00AD71A9">
        <w:t xml:space="preserve"> </w:t>
      </w:r>
    </w:p>
    <w:p w:rsidR="00712655" w:rsidP="009564AE" w14:paraId="1FD9A077" w14:textId="77777777">
      <w:pPr>
        <w:keepLines/>
        <w:widowControl/>
        <w:ind w:left="720"/>
      </w:pPr>
    </w:p>
    <w:p w:rsidR="000A6098" w:rsidRPr="002B2C4A" w:rsidP="009564AE" w14:paraId="1FD9A078" w14:textId="737D50C7">
      <w:pPr>
        <w:keepLines/>
        <w:widowControl/>
        <w:ind w:left="720"/>
      </w:pPr>
      <w:r>
        <w:t>The</w:t>
      </w:r>
      <w:r w:rsidR="00750895">
        <w:t xml:space="preserve"> CPS</w:t>
      </w:r>
      <w:r>
        <w:t xml:space="preserve"> </w:t>
      </w:r>
      <w:r w:rsidR="00E42B83">
        <w:t xml:space="preserve">Food Security </w:t>
      </w:r>
      <w:r>
        <w:t>Supplement is sponsored by USDA as</w:t>
      </w:r>
      <w:r w:rsidR="00E42B83">
        <w:t xml:space="preserve"> a</w:t>
      </w:r>
      <w:r>
        <w:t xml:space="preserve"> research and evaluation activity authorized under 7 U.S.C. 2204(a). This section outlines duties of the Secretary of Agriculture related to research and development including authorizing the collection of statistics. </w:t>
      </w:r>
      <w:r w:rsidR="004D77AF">
        <w:rPr>
          <w:szCs w:val="24"/>
        </w:rPr>
        <w:t>T</w:t>
      </w:r>
      <w:r w:rsidRPr="008155C5" w:rsidR="004D77AF">
        <w:rPr>
          <w:szCs w:val="24"/>
        </w:rPr>
        <w:t xml:space="preserve">he </w:t>
      </w:r>
      <w:r w:rsidR="004D77AF">
        <w:rPr>
          <w:szCs w:val="24"/>
        </w:rPr>
        <w:t>Administrator of the Economic Research Service</w:t>
      </w:r>
      <w:r w:rsidRPr="000E3A1D" w:rsidR="004D77AF">
        <w:rPr>
          <w:szCs w:val="24"/>
        </w:rPr>
        <w:t xml:space="preserve"> </w:t>
      </w:r>
      <w:r w:rsidR="004D77AF">
        <w:rPr>
          <w:szCs w:val="24"/>
        </w:rPr>
        <w:t xml:space="preserve">is </w:t>
      </w:r>
      <w:r w:rsidRPr="008155C5" w:rsidR="004D77AF">
        <w:rPr>
          <w:szCs w:val="24"/>
        </w:rPr>
        <w:t>authorize</w:t>
      </w:r>
      <w:r w:rsidR="004D77AF">
        <w:rPr>
          <w:szCs w:val="24"/>
        </w:rPr>
        <w:t>d</w:t>
      </w:r>
      <w:r w:rsidRPr="008155C5" w:rsidR="004D77AF">
        <w:rPr>
          <w:szCs w:val="24"/>
        </w:rPr>
        <w:t xml:space="preserve"> </w:t>
      </w:r>
      <w:r w:rsidR="00F83B9C">
        <w:rPr>
          <w:szCs w:val="24"/>
        </w:rPr>
        <w:t xml:space="preserve">to conduct </w:t>
      </w:r>
      <w:r w:rsidR="00A471E2">
        <w:rPr>
          <w:szCs w:val="24"/>
        </w:rPr>
        <w:t xml:space="preserve">economic and social science </w:t>
      </w:r>
      <w:r w:rsidR="004D77AF">
        <w:rPr>
          <w:szCs w:val="24"/>
        </w:rPr>
        <w:t xml:space="preserve">research and analyses related to </w:t>
      </w:r>
      <w:r w:rsidR="00F83B9C">
        <w:rPr>
          <w:szCs w:val="24"/>
        </w:rPr>
        <w:t>the U.S. food system</w:t>
      </w:r>
      <w:r w:rsidR="004D77AF">
        <w:rPr>
          <w:szCs w:val="24"/>
        </w:rPr>
        <w:t xml:space="preserve"> and</w:t>
      </w:r>
      <w:r w:rsidR="00F83B9C">
        <w:rPr>
          <w:szCs w:val="24"/>
        </w:rPr>
        <w:t xml:space="preserve"> consumers</w:t>
      </w:r>
      <w:r w:rsidR="004D77AF">
        <w:rPr>
          <w:szCs w:val="24"/>
        </w:rPr>
        <w:t xml:space="preserve"> under </w:t>
      </w:r>
      <w:r w:rsidRPr="000E3A1D" w:rsidR="004D77AF">
        <w:rPr>
          <w:szCs w:val="24"/>
        </w:rPr>
        <w:t>7 CFR 2.67</w:t>
      </w:r>
      <w:r w:rsidR="008531DA">
        <w:rPr>
          <w:szCs w:val="24"/>
        </w:rPr>
        <w:t>.</w:t>
      </w:r>
      <w:r w:rsidR="00F83B9C">
        <w:rPr>
          <w:szCs w:val="24"/>
        </w:rPr>
        <w:t xml:space="preserve"> </w:t>
      </w:r>
      <w:r>
        <w:t>The data to be collected will be used to address multiple programmatic and policy development needs of FNS and other Federal agencies.</w:t>
      </w:r>
      <w:r w:rsidR="009564AE">
        <w:t xml:space="preserve"> </w:t>
      </w:r>
      <w:r w:rsidRPr="002B2C4A" w:rsidR="002B2C4A">
        <w:t>The U</w:t>
      </w:r>
      <w:r w:rsidR="000D7F53">
        <w:t>.</w:t>
      </w:r>
      <w:r w:rsidRPr="002B2C4A" w:rsidR="002B2C4A">
        <w:t>S</w:t>
      </w:r>
      <w:r w:rsidR="000D7F53">
        <w:t>.</w:t>
      </w:r>
      <w:r w:rsidRPr="002B2C4A" w:rsidR="002B2C4A">
        <w:t xml:space="preserve"> Census Bureau has the right to conduct the data collection on </w:t>
      </w:r>
      <w:r w:rsidR="009564AE">
        <w:t>USDA’s</w:t>
      </w:r>
      <w:r w:rsidRPr="002B2C4A" w:rsidR="009564AE">
        <w:t xml:space="preserve"> </w:t>
      </w:r>
      <w:r w:rsidRPr="002B2C4A" w:rsidR="002B2C4A">
        <w:t>behalf under Title 13, Section 8(b).</w:t>
      </w:r>
      <w:r w:rsidR="00325B68">
        <w:t xml:space="preserve"> Furthermore, </w:t>
      </w:r>
      <w:r w:rsidR="00325B68">
        <w:rPr>
          <w:szCs w:val="24"/>
        </w:rPr>
        <w:t xml:space="preserve">these </w:t>
      </w:r>
      <w:r w:rsidRPr="00E50543" w:rsidR="00325B68">
        <w:rPr>
          <w:szCs w:val="24"/>
        </w:rPr>
        <w:t>data will be protected by the Confidential Information Protection and Statistical Efficiency Act of 2018 (CIPSEA).</w:t>
      </w:r>
    </w:p>
    <w:p w:rsidR="000A6098" w14:paraId="1FD9A079" w14:textId="77777777">
      <w:pPr>
        <w:widowControl/>
      </w:pPr>
    </w:p>
    <w:p w:rsidR="00A42063" w:rsidP="00A42063" w14:paraId="1FD9A07A" w14:textId="77777777">
      <w:pPr>
        <w:widowControl/>
        <w:ind w:left="720"/>
      </w:pPr>
      <w:r>
        <w:t xml:space="preserve">One </w:t>
      </w:r>
      <w:r w:rsidR="00E369F8">
        <w:t xml:space="preserve">of </w:t>
      </w:r>
      <w:r>
        <w:t>USDA’s strategic plan</w:t>
      </w:r>
      <w:r w:rsidR="00E369F8">
        <w:t>ning</w:t>
      </w:r>
      <w:r>
        <w:t xml:space="preserve"> </w:t>
      </w:r>
      <w:r w:rsidRPr="00242A73" w:rsidR="001E5D67">
        <w:rPr>
          <w:color w:val="000000"/>
        </w:rPr>
        <w:t xml:space="preserve">objectives </w:t>
      </w:r>
      <w:r w:rsidRPr="00242A73">
        <w:rPr>
          <w:color w:val="000000"/>
        </w:rPr>
        <w:t>is to</w:t>
      </w:r>
      <w:r w:rsidRPr="00242A73" w:rsidR="001E5D67">
        <w:rPr>
          <w:color w:val="000000"/>
        </w:rPr>
        <w:t xml:space="preserve"> </w:t>
      </w:r>
      <w:r w:rsidRPr="00242A73" w:rsidR="009E4D6B">
        <w:rPr>
          <w:color w:val="000000"/>
        </w:rPr>
        <w:t>“</w:t>
      </w:r>
      <w:r w:rsidR="004C11CF">
        <w:t>increase food security through assistance and access to nutritious and affordable food</w:t>
      </w:r>
      <w:r w:rsidR="009E4D6B">
        <w:t>”</w:t>
      </w:r>
      <w:r w:rsidR="002F2837">
        <w:t xml:space="preserve"> (objective </w:t>
      </w:r>
      <w:r w:rsidR="004C11CF">
        <w:t>4.1</w:t>
      </w:r>
      <w:r>
        <w:t xml:space="preserve">; </w:t>
      </w:r>
      <w:r w:rsidR="002F2837">
        <w:t xml:space="preserve">Source: </w:t>
      </w:r>
      <w:r w:rsidR="002F2837">
        <w:rPr>
          <w:i/>
        </w:rPr>
        <w:t>USDA Strategic Plan, FY 20</w:t>
      </w:r>
      <w:r w:rsidR="00DD39A1">
        <w:rPr>
          <w:i/>
        </w:rPr>
        <w:t>22</w:t>
      </w:r>
      <w:r w:rsidR="002F2837">
        <w:rPr>
          <w:i/>
        </w:rPr>
        <w:t>-202</w:t>
      </w:r>
      <w:r w:rsidR="00DD39A1">
        <w:rPr>
          <w:i/>
        </w:rPr>
        <w:t>6</w:t>
      </w:r>
      <w:r w:rsidRPr="0068780B" w:rsidR="002F2837">
        <w:rPr>
          <w:iCs/>
        </w:rPr>
        <w:t>,</w:t>
      </w:r>
      <w:r w:rsidR="007F637A">
        <w:rPr>
          <w:iCs/>
        </w:rPr>
        <w:t xml:space="preserve"> </w:t>
      </w:r>
      <w:hyperlink r:id="rId9" w:history="1">
        <w:r w:rsidRPr="007F637A" w:rsidR="007F637A">
          <w:rPr>
            <w:rStyle w:val="Hyperlink"/>
          </w:rPr>
          <w:t>https://www.usda.gov/sites/default/files/documents/usda-fy-2022-2026-strategic-plan.pdf</w:t>
        </w:r>
      </w:hyperlink>
      <w:r w:rsidR="007F637A">
        <w:t>; see pages 30-31).</w:t>
      </w:r>
      <w:r w:rsidRPr="00A42063">
        <w:t xml:space="preserve"> </w:t>
      </w:r>
      <w:r>
        <w:t xml:space="preserve">The Agriculture Improvement Act of 2018, the most recently passed Farm Bill, (2018 Farm Act; </w:t>
      </w:r>
      <w:hyperlink r:id="rId10" w:history="1">
        <w:r w:rsidRPr="005C736D">
          <w:rPr>
            <w:rStyle w:val="Hyperlink"/>
          </w:rPr>
          <w:t>https://www.congress.gov/115/bills/hr2/BILLS-115hr2enr.pdf</w:t>
        </w:r>
      </w:hyperlink>
      <w:r>
        <w:t xml:space="preserve">) mentions specific efforts and programs that require food security measurement for monitoring and evaluation.    </w:t>
      </w:r>
    </w:p>
    <w:p w:rsidR="000A6098" w:rsidP="006539C3" w14:paraId="1FD9A07B" w14:textId="77777777">
      <w:pPr>
        <w:widowControl/>
        <w:ind w:left="720"/>
      </w:pPr>
      <w:r>
        <w:t xml:space="preserve"> </w:t>
      </w:r>
    </w:p>
    <w:p w:rsidR="00EB2CB9" w:rsidP="00EB2CB9" w14:paraId="1FD9A07C" w14:textId="77777777">
      <w:pPr>
        <w:widowControl/>
        <w:ind w:left="720"/>
      </w:pPr>
      <w:r>
        <w:t>F</w:t>
      </w:r>
      <w:r w:rsidR="001D2734">
        <w:t xml:space="preserve">ood security </w:t>
      </w:r>
      <w:r w:rsidR="002F6E36">
        <w:t>monitoring</w:t>
      </w:r>
      <w:r>
        <w:t xml:space="preserve"> to assess progress toward this and other objectives</w:t>
      </w:r>
      <w:r w:rsidR="000A6098">
        <w:t xml:space="preserve"> requires that USDA continue basic data collection, analysis, and </w:t>
      </w:r>
      <w:r>
        <w:t>assessment of data quality</w:t>
      </w:r>
      <w:r w:rsidR="000A6098">
        <w:t>. Th</w:t>
      </w:r>
      <w:r w:rsidR="00E1757E">
        <w:t>ese data</w:t>
      </w:r>
      <w:r w:rsidR="000A6098">
        <w:t xml:space="preserve"> provide the basis for regular monitoring as well as ongoing development of </w:t>
      </w:r>
      <w:r w:rsidR="00B82261">
        <w:t>scientifically grounded</w:t>
      </w:r>
      <w:r w:rsidR="000A6098">
        <w:t xml:space="preserve"> methods for the consistent national measurement of food insecurity. </w:t>
      </w:r>
    </w:p>
    <w:p w:rsidR="00EB2CB9" w:rsidP="00EB2CB9" w14:paraId="1FD9A07D" w14:textId="77777777">
      <w:pPr>
        <w:widowControl/>
        <w:ind w:left="720"/>
      </w:pPr>
    </w:p>
    <w:p w:rsidR="00700261" w:rsidRPr="005221FA" w:rsidP="00127DDC" w14:paraId="1FD9A07E" w14:textId="223081B6">
      <w:pPr>
        <w:widowControl/>
        <w:ind w:left="720"/>
        <w:rPr>
          <w:snapToGrid/>
          <w:sz w:val="20"/>
        </w:rPr>
      </w:pPr>
      <w:r>
        <w:rPr>
          <w:snapToGrid/>
          <w:szCs w:val="24"/>
        </w:rPr>
        <w:t xml:space="preserve">ERS sponsors this data collection </w:t>
      </w:r>
      <w:r w:rsidR="003B60AE">
        <w:rPr>
          <w:snapToGrid/>
          <w:szCs w:val="24"/>
        </w:rPr>
        <w:t xml:space="preserve">to </w:t>
      </w:r>
      <w:r>
        <w:rPr>
          <w:snapToGrid/>
          <w:szCs w:val="24"/>
        </w:rPr>
        <w:t>monitor</w:t>
      </w:r>
      <w:r w:rsidR="003B60AE">
        <w:rPr>
          <w:snapToGrid/>
          <w:szCs w:val="24"/>
        </w:rPr>
        <w:t xml:space="preserve"> food security in the overall population and for subpopulations</w:t>
      </w:r>
      <w:r>
        <w:rPr>
          <w:snapToGrid/>
          <w:szCs w:val="24"/>
        </w:rPr>
        <w:t xml:space="preserve"> and </w:t>
      </w:r>
      <w:r w:rsidR="003B60AE">
        <w:rPr>
          <w:snapToGrid/>
          <w:szCs w:val="24"/>
        </w:rPr>
        <w:t xml:space="preserve">uses it to conduct </w:t>
      </w:r>
      <w:r>
        <w:rPr>
          <w:snapToGrid/>
          <w:szCs w:val="24"/>
        </w:rPr>
        <w:t xml:space="preserve">research </w:t>
      </w:r>
      <w:r w:rsidR="00F51BCB">
        <w:rPr>
          <w:snapToGrid/>
          <w:szCs w:val="24"/>
        </w:rPr>
        <w:t xml:space="preserve">in line with </w:t>
      </w:r>
      <w:r>
        <w:rPr>
          <w:snapToGrid/>
          <w:szCs w:val="24"/>
        </w:rPr>
        <w:t xml:space="preserve">its </w:t>
      </w:r>
      <w:r w:rsidR="002563C4">
        <w:rPr>
          <w:snapToGrid/>
          <w:szCs w:val="24"/>
        </w:rPr>
        <w:t xml:space="preserve">mission to </w:t>
      </w:r>
      <w:r>
        <w:rPr>
          <w:snapToGrid/>
          <w:szCs w:val="24"/>
        </w:rPr>
        <w:t>“</w:t>
      </w:r>
      <w:r w:rsidRPr="00127DDC" w:rsidR="00127DDC">
        <w:rPr>
          <w:snapToGrid/>
          <w:szCs w:val="24"/>
        </w:rPr>
        <w:t xml:space="preserve">anticipate </w:t>
      </w:r>
      <w:r w:rsidR="00127DDC">
        <w:rPr>
          <w:snapToGrid/>
          <w:szCs w:val="24"/>
        </w:rPr>
        <w:t>e</w:t>
      </w:r>
      <w:r w:rsidRPr="00127DDC" w:rsidR="00127DDC">
        <w:rPr>
          <w:snapToGrid/>
          <w:szCs w:val="24"/>
        </w:rPr>
        <w:t>conomic and policy issues related to agriculture, food, the environment, and</w:t>
      </w:r>
      <w:r w:rsidR="00127DDC">
        <w:rPr>
          <w:snapToGrid/>
          <w:szCs w:val="24"/>
        </w:rPr>
        <w:t xml:space="preserve"> </w:t>
      </w:r>
      <w:r w:rsidRPr="00127DDC" w:rsidR="00127DDC">
        <w:rPr>
          <w:snapToGrid/>
          <w:szCs w:val="24"/>
        </w:rPr>
        <w:t>rural development, and conduct economic research that broadly and specifically informs public program</w:t>
      </w:r>
      <w:r w:rsidR="00127DDC">
        <w:rPr>
          <w:snapToGrid/>
          <w:szCs w:val="24"/>
        </w:rPr>
        <w:t xml:space="preserve"> </w:t>
      </w:r>
      <w:r w:rsidRPr="00127DDC" w:rsidR="00127DDC">
        <w:rPr>
          <w:snapToGrid/>
          <w:szCs w:val="24"/>
        </w:rPr>
        <w:t>and policy decisions.</w:t>
      </w:r>
      <w:r>
        <w:rPr>
          <w:snapToGrid/>
          <w:szCs w:val="24"/>
        </w:rPr>
        <w:t xml:space="preserve">” More specifically, these activities contribute to ERS </w:t>
      </w:r>
      <w:r w:rsidR="004831A0">
        <w:rPr>
          <w:snapToGrid/>
          <w:szCs w:val="24"/>
        </w:rPr>
        <w:t>S</w:t>
      </w:r>
      <w:r>
        <w:rPr>
          <w:snapToGrid/>
          <w:szCs w:val="24"/>
        </w:rPr>
        <w:t xml:space="preserve">trategic </w:t>
      </w:r>
      <w:r w:rsidR="004831A0">
        <w:rPr>
          <w:snapToGrid/>
          <w:szCs w:val="24"/>
        </w:rPr>
        <w:t>G</w:t>
      </w:r>
      <w:r w:rsidR="001E5D67">
        <w:rPr>
          <w:snapToGrid/>
          <w:szCs w:val="24"/>
        </w:rPr>
        <w:t>oal</w:t>
      </w:r>
      <w:r w:rsidRPr="00E369F8" w:rsidR="001E5D67">
        <w:rPr>
          <w:iCs/>
          <w:snapToGrid/>
          <w:szCs w:val="24"/>
        </w:rPr>
        <w:t xml:space="preserve"> </w:t>
      </w:r>
      <w:r w:rsidR="0061360F">
        <w:rPr>
          <w:iCs/>
          <w:snapToGrid/>
          <w:szCs w:val="24"/>
        </w:rPr>
        <w:t>4</w:t>
      </w:r>
      <w:r w:rsidR="009A5629">
        <w:rPr>
          <w:iCs/>
          <w:snapToGrid/>
          <w:szCs w:val="24"/>
        </w:rPr>
        <w:t xml:space="preserve"> </w:t>
      </w:r>
      <w:r w:rsidR="00F51BCB">
        <w:rPr>
          <w:iCs/>
          <w:snapToGrid/>
          <w:szCs w:val="24"/>
        </w:rPr>
        <w:t>to</w:t>
      </w:r>
      <w:r w:rsidR="00E1757E">
        <w:rPr>
          <w:iCs/>
          <w:snapToGrid/>
          <w:szCs w:val="24"/>
        </w:rPr>
        <w:t>:</w:t>
      </w:r>
      <w:r>
        <w:rPr>
          <w:iCs/>
          <w:snapToGrid/>
          <w:szCs w:val="24"/>
        </w:rPr>
        <w:t xml:space="preserve"> “</w:t>
      </w:r>
      <w:r w:rsidR="009920F0">
        <w:rPr>
          <w:iCs/>
          <w:snapToGrid/>
          <w:szCs w:val="24"/>
        </w:rPr>
        <w:t>Provide information to improve the Nation’s nutrition and food safety” (</w:t>
      </w:r>
      <w:hyperlink r:id="rId11" w:history="1">
        <w:r w:rsidRPr="00764732" w:rsidR="00DD39A1">
          <w:rPr>
            <w:rStyle w:val="Hyperlink"/>
            <w:iCs/>
            <w:snapToGrid/>
            <w:szCs w:val="24"/>
          </w:rPr>
          <w:t>https://www.ers.usda.gov/media/nhelklzj/economic-research-service-strategic-plan-fy-2021-2025.pdf</w:t>
        </w:r>
      </w:hyperlink>
      <w:r w:rsidR="009920F0">
        <w:rPr>
          <w:iCs/>
          <w:snapToGrid/>
          <w:szCs w:val="24"/>
        </w:rPr>
        <w:t xml:space="preserve">). </w:t>
      </w:r>
    </w:p>
    <w:p w:rsidR="002563C4" w:rsidRPr="005221FA" w:rsidP="00564F16" w14:paraId="1FD9A07F" w14:textId="77777777">
      <w:pPr>
        <w:widowControl/>
        <w:ind w:left="720"/>
      </w:pPr>
    </w:p>
    <w:p w:rsidR="000A6098" w:rsidRPr="005221FA" w:rsidP="00D06AAD" w14:paraId="1FD9A080" w14:textId="77777777">
      <w:pPr>
        <w:widowControl/>
      </w:pPr>
    </w:p>
    <w:p w:rsidR="005221FA" w:rsidRPr="005221FA" w:rsidP="005221FA" w14:paraId="1FD9A081" w14:textId="77777777">
      <w:pPr>
        <w:widowControl/>
        <w:numPr>
          <w:ilvl w:val="0"/>
          <w:numId w:val="7"/>
        </w:numPr>
        <w:tabs>
          <w:tab w:val="left" w:pos="720"/>
        </w:tabs>
        <w:ind w:left="720"/>
        <w:rPr>
          <w:rFonts w:ascii="Verdana" w:hAnsi="Verdana"/>
          <w:b/>
          <w:bCs/>
          <w:sz w:val="17"/>
          <w:szCs w:val="17"/>
        </w:rPr>
      </w:pPr>
      <w:r w:rsidRPr="005221FA">
        <w:rPr>
          <w:b/>
        </w:rPr>
        <w:t xml:space="preserve">Indicate how, by whom, and for what purpose the information is to be used. Except for a new collection, indicate the actual use the agency has made of the information received from the current collection. </w:t>
      </w:r>
    </w:p>
    <w:p w:rsidR="000A6098" w14:paraId="1FD9A082" w14:textId="77777777">
      <w:pPr>
        <w:widowControl/>
      </w:pPr>
    </w:p>
    <w:p w:rsidR="000A6098" w14:paraId="1FD9A083" w14:textId="6706063C">
      <w:pPr>
        <w:widowControl/>
        <w:ind w:left="720"/>
      </w:pPr>
      <w:r>
        <w:t>The purpose of the CPS Food Security Supplement</w:t>
      </w:r>
      <w:r w:rsidR="006E7977">
        <w:t xml:space="preserve"> (CPS-FSS)</w:t>
      </w:r>
      <w:r>
        <w:t xml:space="preserve"> is to </w:t>
      </w:r>
      <w:r w:rsidR="00A621E1">
        <w:t xml:space="preserve">annually </w:t>
      </w:r>
      <w:r>
        <w:t>obtain reliable data from a large, representative national sample</w:t>
      </w:r>
      <w:r w:rsidR="00CA66A2">
        <w:t xml:space="preserve"> as a basis for monitoring</w:t>
      </w:r>
      <w:r>
        <w:t xml:space="preserve"> the prevalence of food</w:t>
      </w:r>
      <w:r w:rsidR="00CA66A2">
        <w:t xml:space="preserve"> security, food</w:t>
      </w:r>
      <w:r>
        <w:t xml:space="preserve"> insecurity</w:t>
      </w:r>
      <w:r w:rsidR="00CA66A2">
        <w:t>,</w:t>
      </w:r>
      <w:r>
        <w:t xml:space="preserve"> and</w:t>
      </w:r>
      <w:r w:rsidR="00CA66A2">
        <w:t xml:space="preserve"> very low</w:t>
      </w:r>
      <w:r>
        <w:t xml:space="preserve"> </w:t>
      </w:r>
      <w:r w:rsidR="00E1626D">
        <w:t xml:space="preserve">food security </w:t>
      </w:r>
      <w:r>
        <w:t>within the U.S. popula</w:t>
      </w:r>
      <w:r w:rsidR="00E1626D">
        <w:t>tion as a whole and in selected</w:t>
      </w:r>
      <w:r>
        <w:t xml:space="preserve"> population subgroups</w:t>
      </w:r>
      <w:r w:rsidR="00296BE6">
        <w:t>;</w:t>
      </w:r>
      <w:r>
        <w:t xml:space="preserve"> </w:t>
      </w:r>
      <w:r w:rsidR="00296BE6">
        <w:t xml:space="preserve">conducting research on causes of food insecurity and the role of Federal food and nutrition programs in ameliorating food insecurity; </w:t>
      </w:r>
      <w:r>
        <w:t>and continu</w:t>
      </w:r>
      <w:r w:rsidR="00CA66A2">
        <w:t>ing</w:t>
      </w:r>
      <w:r>
        <w:t xml:space="preserve"> development and improvement of methods for measuring these conditions.</w:t>
      </w:r>
      <w:r w:rsidR="00B91293">
        <w:t xml:space="preserve"> </w:t>
      </w:r>
      <w:r w:rsidR="00244593">
        <w:t>T</w:t>
      </w:r>
      <w:r w:rsidR="00B91293">
        <w:t>he proposed CPS-FSS information collection is described briefly</w:t>
      </w:r>
      <w:r w:rsidR="00244593">
        <w:t xml:space="preserve"> below</w:t>
      </w:r>
      <w:r w:rsidR="00B91293">
        <w:t xml:space="preserve"> and is followed by a discussion of the use of the information received from the current CPS-FSS data collections. </w:t>
      </w:r>
    </w:p>
    <w:p w:rsidR="007716B4" w14:paraId="1FD9A084" w14:textId="77777777">
      <w:pPr>
        <w:widowControl/>
        <w:ind w:left="720"/>
      </w:pPr>
    </w:p>
    <w:p w:rsidR="007716B4" w14:paraId="1FD9A085" w14:textId="225BCA7F">
      <w:pPr>
        <w:widowControl/>
        <w:ind w:left="720"/>
      </w:pPr>
      <w:r>
        <w:t xml:space="preserve">Information will be collected on food spending, use of Federal and community nutrition assistance programs, difficulties in obtaining adequate food during the previous 12 months and 30 days due to constrained resources, and conditions that result from inadequate access to food. Information will be collected by interviewers of the U.S. Census Bureau in </w:t>
      </w:r>
      <w:r w:rsidR="001A0221">
        <w:t xml:space="preserve">early </w:t>
      </w:r>
      <w:r>
        <w:t xml:space="preserve">December of each year as a supplement to the Bureau’s monthly Current Population Survey interviews. Information </w:t>
      </w:r>
      <w:r w:rsidR="001A0221">
        <w:t>will be</w:t>
      </w:r>
      <w:r>
        <w:t xml:space="preserve"> collected from one respondent in each household, in either face-to-face </w:t>
      </w:r>
      <w:r w:rsidR="00945D2D">
        <w:t>or</w:t>
      </w:r>
      <w:r>
        <w:t xml:space="preserve"> telephone interviews.</w:t>
      </w:r>
      <w:r w:rsidR="00F73CF8">
        <w:t xml:space="preserve"> The U.S. Census Bureau is currently exploring the addition of an internet self-response option for the Basic CPS, which they are planning </w:t>
      </w:r>
      <w:r w:rsidR="00124F49">
        <w:t>to</w:t>
      </w:r>
      <w:r w:rsidR="00F73CF8">
        <w:t xml:space="preserve"> implement by 2027. Supplements, such as the CPS-FSS, will continue to be collected </w:t>
      </w:r>
      <w:r w:rsidR="00124F49">
        <w:t>with the</w:t>
      </w:r>
      <w:r w:rsidR="00F73CF8">
        <w:t xml:space="preserve"> option </w:t>
      </w:r>
      <w:r w:rsidR="00124F49">
        <w:t xml:space="preserve">for internet self-response </w:t>
      </w:r>
      <w:r w:rsidR="00F73CF8">
        <w:t>implemented for the CPS-FSS when it becomes available.</w:t>
      </w:r>
      <w:r>
        <w:t xml:space="preserve"> A </w:t>
      </w:r>
      <w:r w:rsidR="00763FFF">
        <w:t>sanitized</w:t>
      </w:r>
      <w:r>
        <w:t xml:space="preserve"> public-use file </w:t>
      </w:r>
      <w:r w:rsidR="001A0221">
        <w:t>will be</w:t>
      </w:r>
      <w:r>
        <w:t xml:space="preserve"> provided by the Census Bureau</w:t>
      </w:r>
      <w:r w:rsidR="00945D2D">
        <w:t xml:space="preserve"> on its website</w:t>
      </w:r>
      <w:r w:rsidR="00750895">
        <w:t xml:space="preserve"> that</w:t>
      </w:r>
      <w:r w:rsidR="00945D2D">
        <w:t xml:space="preserve"> can be accessed by Government, academic, and private researchers</w:t>
      </w:r>
      <w:r w:rsidR="004A288D">
        <w:t xml:space="preserve"> while restricted-use versions of the supplement will be available through the Standard Application Process (SAP)</w:t>
      </w:r>
      <w:r w:rsidR="00945D2D">
        <w:t>.</w:t>
      </w:r>
    </w:p>
    <w:p w:rsidR="00B146D8" w14:paraId="1FD9A086" w14:textId="77777777">
      <w:pPr>
        <w:widowControl/>
        <w:ind w:left="720"/>
      </w:pPr>
    </w:p>
    <w:p w:rsidR="0009630A" w:rsidRPr="00117D75" w:rsidP="0009630A" w14:paraId="1FD9A087" w14:textId="77777777">
      <w:pPr>
        <w:ind w:left="720"/>
      </w:pPr>
      <w:r>
        <w:t xml:space="preserve">Food security data </w:t>
      </w:r>
      <w:r w:rsidR="00025F3E">
        <w:t>have</w:t>
      </w:r>
      <w:r>
        <w:t xml:space="preserve"> been collected in the CPS Food </w:t>
      </w:r>
      <w:r w:rsidR="00215B8E">
        <w:t>S</w:t>
      </w:r>
      <w:r>
        <w:t xml:space="preserve">ecurity Supplement since 1995. Data from the first collections were used by USDA and USDA contractors to develop and assess a </w:t>
      </w:r>
      <w:r w:rsidRPr="000F6009">
        <w:t>multiple-item measure of food insecurity at various levels of severity</w:t>
      </w:r>
      <w:r>
        <w:t xml:space="preserve">. Data collected subsequently have been used by USDA to improve and expand the statistical measurement methods to provide a more complete picture of food security and food insecurity in U.S. households. </w:t>
      </w:r>
      <w:r w:rsidR="00227D83">
        <w:t>The content of the questionnaire proposed for December 2025 includes the same content as that used in December 2022, 2023, and 2024.</w:t>
      </w:r>
      <w:r>
        <w:t xml:space="preserve"> </w:t>
      </w:r>
      <w:r>
        <w:rPr>
          <w:szCs w:val="24"/>
        </w:rPr>
        <w:t>ERS is proposing no change to the CPS-FSS survey instrument (Attachment A).</w:t>
      </w:r>
      <w:r>
        <w:t xml:space="preserve">   </w:t>
      </w:r>
    </w:p>
    <w:p w:rsidR="00B146D8" w:rsidP="00564F16" w14:paraId="1FD9A088" w14:textId="77777777">
      <w:pPr>
        <w:widowControl/>
      </w:pPr>
    </w:p>
    <w:p w:rsidR="00105292" w:rsidP="00493ACF" w14:paraId="1FD9A089" w14:textId="77777777">
      <w:pPr>
        <w:widowControl/>
        <w:ind w:left="720"/>
      </w:pPr>
      <w:r>
        <w:t>T</w:t>
      </w:r>
      <w:r w:rsidR="00B42C6D">
        <w:t xml:space="preserve">he CPS Food Security Supplement data </w:t>
      </w:r>
      <w:r>
        <w:t xml:space="preserve">have been analyzed and summarized annually since 1995 in </w:t>
      </w:r>
      <w:r w:rsidR="00B42C6D">
        <w:t xml:space="preserve">statistical reports </w:t>
      </w:r>
      <w:r>
        <w:t xml:space="preserve">that </w:t>
      </w:r>
      <w:r w:rsidR="00B42C6D">
        <w:t>monitor the extent and severity of food insecurity in the Nation’s households</w:t>
      </w:r>
      <w:r w:rsidRPr="000F6009" w:rsidR="00B42C6D">
        <w:t xml:space="preserve">. The most recent </w:t>
      </w:r>
      <w:r w:rsidR="00B42C6D">
        <w:t xml:space="preserve">ERS </w:t>
      </w:r>
      <w:r w:rsidRPr="000F6009" w:rsidR="00B42C6D">
        <w:t xml:space="preserve">report, </w:t>
      </w:r>
      <w:r w:rsidR="00B42C6D">
        <w:rPr>
          <w:i/>
        </w:rPr>
        <w:t>Household Food Security in the United States in 20</w:t>
      </w:r>
      <w:r w:rsidR="005A0A2E">
        <w:rPr>
          <w:i/>
        </w:rPr>
        <w:t>2</w:t>
      </w:r>
      <w:r w:rsidR="00140D2F">
        <w:rPr>
          <w:i/>
        </w:rPr>
        <w:t>3</w:t>
      </w:r>
      <w:r w:rsidR="00AF139A">
        <w:rPr>
          <w:i/>
        </w:rPr>
        <w:t xml:space="preserve"> </w:t>
      </w:r>
      <w:r w:rsidR="00AF139A">
        <w:t>(</w:t>
      </w:r>
      <w:hyperlink r:id="rId12" w:history="1">
        <w:r w:rsidRPr="00597C12" w:rsidR="00140D2F">
          <w:rPr>
            <w:rStyle w:val="Hyperlink"/>
          </w:rPr>
          <w:t>https://www.ers.usda.gov/publications/pub-details/?pubid=109895</w:t>
        </w:r>
      </w:hyperlink>
      <w:r w:rsidRPr="00140D2F" w:rsidR="00140D2F">
        <w:t>)</w:t>
      </w:r>
      <w:r w:rsidRPr="00AB4CE8" w:rsidR="00B42C6D">
        <w:t>,</w:t>
      </w:r>
      <w:r w:rsidR="00B42C6D">
        <w:rPr>
          <w:i/>
        </w:rPr>
        <w:t xml:space="preserve"> </w:t>
      </w:r>
      <w:r w:rsidRPr="000F6009" w:rsidR="00B42C6D">
        <w:t>based on the December 20</w:t>
      </w:r>
      <w:r w:rsidR="005A0A2E">
        <w:t>2</w:t>
      </w:r>
      <w:r w:rsidR="008A0EA8">
        <w:t>3</w:t>
      </w:r>
      <w:r w:rsidRPr="000F6009" w:rsidR="00B42C6D">
        <w:t xml:space="preserve"> survey, indicated that </w:t>
      </w:r>
      <w:r w:rsidR="005A0A2E">
        <w:t>8</w:t>
      </w:r>
      <w:r w:rsidR="008A0EA8">
        <w:t>6.5</w:t>
      </w:r>
      <w:r w:rsidRPr="000F6009" w:rsidR="00B42C6D">
        <w:t xml:space="preserve"> percent of U.S. households were food secure throughout the entire year prior to the survey, while 1</w:t>
      </w:r>
      <w:r w:rsidR="008A0EA8">
        <w:t>3.5</w:t>
      </w:r>
      <w:r w:rsidRPr="000F6009" w:rsidR="00B42C6D">
        <w:t xml:space="preserve"> percent were</w:t>
      </w:r>
      <w:r w:rsidR="00493ACF">
        <w:t xml:space="preserve"> food</w:t>
      </w:r>
      <w:r w:rsidRPr="000F6009" w:rsidR="00B42C6D">
        <w:t xml:space="preserve"> insecure at least some time during the year, including </w:t>
      </w:r>
      <w:r w:rsidR="008A0EA8">
        <w:t>5.1</w:t>
      </w:r>
      <w:r w:rsidRPr="000F6009" w:rsidR="00B42C6D">
        <w:t xml:space="preserve"> percent with very low food security.</w:t>
      </w:r>
      <w:r w:rsidR="00493ACF">
        <w:t xml:space="preserve"> </w:t>
      </w:r>
      <w:r w:rsidR="00B42C6D">
        <w:t>Among households with children, 1</w:t>
      </w:r>
      <w:r w:rsidR="00AB4CE8">
        <w:t>7.9</w:t>
      </w:r>
      <w:r w:rsidR="00B42C6D">
        <w:t xml:space="preserve"> percent were food insecure, including </w:t>
      </w:r>
      <w:r w:rsidR="00AB4CE8">
        <w:t>8.9</w:t>
      </w:r>
      <w:r w:rsidR="00B42C6D">
        <w:t xml:space="preserve"> percent in which children, along with adults, were food insecure, and </w:t>
      </w:r>
      <w:r w:rsidR="00AB4CE8">
        <w:t>1.0</w:t>
      </w:r>
      <w:r w:rsidR="00B42C6D">
        <w:t xml:space="preserve"> percent in which children experienced very low food security.</w:t>
      </w:r>
      <w:r w:rsidRPr="00296BE6" w:rsidR="00B42C6D">
        <w:t xml:space="preserve"> </w:t>
      </w:r>
      <w:r w:rsidR="00B42C6D">
        <w:t xml:space="preserve">The reports provide food security statistics at the national level, for critical subpopulations, and for geographical regions and States as well as statistics on food spending and use of Federal </w:t>
      </w:r>
      <w:r w:rsidR="00A5194B">
        <w:t>nutrition</w:t>
      </w:r>
      <w:r w:rsidR="00B42C6D">
        <w:t xml:space="preserve"> assistance programs by food-insecure households.</w:t>
      </w:r>
      <w:r w:rsidR="00264931">
        <w:t xml:space="preserve"> </w:t>
      </w:r>
    </w:p>
    <w:p w:rsidR="00105292" w:rsidP="00493ACF" w14:paraId="1FD9A08A" w14:textId="77777777">
      <w:pPr>
        <w:widowControl/>
        <w:ind w:left="720"/>
      </w:pPr>
    </w:p>
    <w:p w:rsidR="00B42C6D" w:rsidP="00493ACF" w14:paraId="1FD9A08B" w14:textId="212016DC">
      <w:pPr>
        <w:widowControl/>
        <w:ind w:left="720"/>
      </w:pPr>
      <w:r>
        <w:t xml:space="preserve">ERS also publishes supplementary statistics in the </w:t>
      </w:r>
      <w:r>
        <w:rPr>
          <w:i/>
          <w:iCs/>
        </w:rPr>
        <w:t xml:space="preserve">Statistical Supplement to Household Food </w:t>
      </w:r>
      <w:r w:rsidR="001B1B38">
        <w:rPr>
          <w:i/>
          <w:iCs/>
        </w:rPr>
        <w:t>S</w:t>
      </w:r>
      <w:r>
        <w:rPr>
          <w:i/>
          <w:iCs/>
        </w:rPr>
        <w:t>ecurity in the United States</w:t>
      </w:r>
      <w:r w:rsidR="008A0EA8">
        <w:rPr>
          <w:i/>
          <w:iCs/>
        </w:rPr>
        <w:t xml:space="preserve"> in 2023</w:t>
      </w:r>
      <w:r w:rsidR="00F0367D">
        <w:rPr>
          <w:i/>
          <w:iCs/>
        </w:rPr>
        <w:t xml:space="preserve"> </w:t>
      </w:r>
      <w:r w:rsidR="00F0367D">
        <w:t>(</w:t>
      </w:r>
      <w:hyperlink r:id="rId12" w:history="1">
        <w:r w:rsidRPr="00597C12" w:rsidR="008A0EA8">
          <w:rPr>
            <w:rStyle w:val="Hyperlink"/>
          </w:rPr>
          <w:t>https://www.ers.usda.gov/publications/pub-details/?pubid=109895</w:t>
        </w:r>
      </w:hyperlink>
      <w:r w:rsidR="008A0EA8">
        <w:t>)</w:t>
      </w:r>
      <w:r>
        <w:t xml:space="preserve">. This publication contains critical additional information on topics including food security during the 30 days before the survey, frequency of food-insecure conditions, and use of food pantries and emergency kitchens. </w:t>
      </w:r>
      <w:r w:rsidR="00264931">
        <w:t xml:space="preserve">In addition to the annual household food security research reports, ERS also publishes charts and graphics on the ERS website that display the findings in formats that can be </w:t>
      </w:r>
      <w:r w:rsidR="00985903">
        <w:t xml:space="preserve">easily </w:t>
      </w:r>
      <w:r w:rsidR="00264931">
        <w:t xml:space="preserve">downloaded (see: </w:t>
      </w:r>
      <w:hyperlink r:id="rId13" w:history="1">
        <w:r w:rsidRPr="009B3CF9" w:rsidR="00264931">
          <w:rPr>
            <w:rStyle w:val="Hyperlink"/>
          </w:rPr>
          <w:t>https://www.ers.usda.gov/topics/food-nutrition-assistance/food-security-in-the-us/key-statistics-graphics/</w:t>
        </w:r>
      </w:hyperlink>
      <w:r w:rsidR="00264931">
        <w:t xml:space="preserve"> and </w:t>
      </w:r>
      <w:hyperlink r:id="rId14" w:history="1">
        <w:r w:rsidRPr="009B3CF9" w:rsidR="00264931">
          <w:rPr>
            <w:rStyle w:val="Hyperlink"/>
          </w:rPr>
          <w:t>https://www.ers.usda.gov/topics/food-nutrition-assistance/food-security-in-the-us/interactive-charts-and-highlights/</w:t>
        </w:r>
      </w:hyperlink>
      <w:r w:rsidR="00264931">
        <w:t xml:space="preserve">). </w:t>
      </w:r>
    </w:p>
    <w:p w:rsidR="00F774CC" w:rsidP="00564F16" w14:paraId="1FD9A08C" w14:textId="77777777">
      <w:pPr>
        <w:widowControl/>
      </w:pPr>
    </w:p>
    <w:p w:rsidR="00296BE6" w:rsidP="00C96642" w14:paraId="1FD9A08D" w14:textId="77777777">
      <w:pPr>
        <w:widowControl/>
        <w:ind w:left="720"/>
      </w:pPr>
      <w:r w:rsidRPr="000F6009">
        <w:t xml:space="preserve">Food security statistics derived from the CPS Food Security Supplements are also </w:t>
      </w:r>
      <w:r w:rsidR="004E19DB">
        <w:t xml:space="preserve">the basis of two national objectives in the Department of Health and Human Services’ </w:t>
      </w:r>
      <w:r w:rsidR="00073B34">
        <w:t xml:space="preserve">current </w:t>
      </w:r>
      <w:r w:rsidRPr="000F6009">
        <w:t>Healthy People 20</w:t>
      </w:r>
      <w:r w:rsidR="00D22B17">
        <w:t>3</w:t>
      </w:r>
      <w:r w:rsidRPr="000F6009">
        <w:t>0</w:t>
      </w:r>
      <w:r w:rsidR="004E19DB">
        <w:t xml:space="preserve"> Initiative</w:t>
      </w:r>
      <w:r w:rsidR="00B668EF">
        <w:t xml:space="preserve"> (</w:t>
      </w:r>
      <w:hyperlink r:id="rId15" w:history="1">
        <w:r w:rsidRPr="00A90D7A" w:rsidR="00D9457D">
          <w:rPr>
            <w:rStyle w:val="Hyperlink"/>
          </w:rPr>
          <w:t>https://health.gov/healthypeople/objectives-and-data/browse-objectives/nutrition-and-healthy-eating</w:t>
        </w:r>
      </w:hyperlink>
      <w:r w:rsidR="00B668EF">
        <w:t>).</w:t>
      </w:r>
      <w:r w:rsidR="004D6AC6">
        <w:t xml:space="preserve"> </w:t>
      </w:r>
      <w:r w:rsidR="00D22B17">
        <w:t xml:space="preserve">Household food insecurity has also been identified as </w:t>
      </w:r>
      <w:r w:rsidR="006F2454">
        <w:t xml:space="preserve">a </w:t>
      </w:r>
      <w:r w:rsidR="00D22B17">
        <w:t>“Leading Health Indicator”</w:t>
      </w:r>
      <w:r w:rsidR="006F2454">
        <w:t xml:space="preserve"> and as a social determinant of health</w:t>
      </w:r>
      <w:r w:rsidR="00D22B17">
        <w:t xml:space="preserve"> for H</w:t>
      </w:r>
      <w:r w:rsidR="006F2454">
        <w:t>ealthy People 2030. As stated on the Healthy People website: “</w:t>
      </w:r>
      <w:r w:rsidRPr="006F2454" w:rsidR="006F2454">
        <w:t>Leading Health Indicators (LHIs) are a small subset of high-priority Healthy People 2030 objectives selected to drive action toward improving health and well-being.</w:t>
      </w:r>
      <w:r w:rsidR="006F2454">
        <w:t>”</w:t>
      </w:r>
      <w:r w:rsidRPr="006F2454" w:rsidR="006F2454">
        <w:t xml:space="preserve"> </w:t>
      </w:r>
      <w:r w:rsidRPr="00244593" w:rsidR="00244593">
        <w:t xml:space="preserve">Food security statistics are also reported annually in America’s Children: Key National Indicators of Well-Being, </w:t>
      </w:r>
      <w:r w:rsidRPr="00244593" w:rsidR="00244593">
        <w:t>a report by the Federal Interagency Forum on Child and Family Statistics that provides a summary of national indicators of child well-being</w:t>
      </w:r>
      <w:r w:rsidR="00244593">
        <w:t xml:space="preserve"> </w:t>
      </w:r>
      <w:r w:rsidRPr="00244593" w:rsidR="00244593">
        <w:t>(</w:t>
      </w:r>
      <w:hyperlink r:id="rId16" w:history="1">
        <w:r w:rsidRPr="00B76F73" w:rsidR="00244593">
          <w:rPr>
            <w:rStyle w:val="Hyperlink"/>
          </w:rPr>
          <w:t>https://www.childstats.gov/americaschildren/eco4.asp</w:t>
        </w:r>
      </w:hyperlink>
      <w:r w:rsidRPr="00244593" w:rsidR="00244593">
        <w:t>). The food security statistics included in this report highlight the percent of children living in food-insecure households and monitors changes in that population over time. Continued data collections with the CPS Food Security Supplements are necessary to monitor progress toward the Healthy People objectives and for monitoring subgroups</w:t>
      </w:r>
      <w:r w:rsidR="00965D4B">
        <w:t>, such as children,</w:t>
      </w:r>
      <w:r w:rsidRPr="00244593" w:rsidR="00244593">
        <w:t xml:space="preserve"> at risk for food security.</w:t>
      </w:r>
    </w:p>
    <w:p w:rsidR="00296BE6" w14:paraId="1FD9A08E" w14:textId="77777777">
      <w:pPr>
        <w:widowControl/>
        <w:ind w:left="720"/>
      </w:pPr>
    </w:p>
    <w:p w:rsidR="00700261" w:rsidP="0044145A" w14:paraId="1FD9A08F" w14:textId="77777777">
      <w:pPr>
        <w:widowControl/>
        <w:ind w:left="720"/>
      </w:pPr>
      <w:r>
        <w:t xml:space="preserve">The CPS Food Security Supplement is the primary data set used to understand the </w:t>
      </w:r>
      <w:r w:rsidR="00E85CAF">
        <w:t>factors affecting households’ food security</w:t>
      </w:r>
      <w:r>
        <w:t xml:space="preserve"> and how USDA’s food and nutrition assistance programs impact food security</w:t>
      </w:r>
      <w:r w:rsidR="002945CF">
        <w:t xml:space="preserve">. </w:t>
      </w:r>
      <w:r w:rsidR="00F11DD7">
        <w:t>For example,</w:t>
      </w:r>
      <w:r w:rsidR="00264931">
        <w:t xml:space="preserve"> recent research studies using CPS </w:t>
      </w:r>
      <w:r w:rsidR="00911196">
        <w:t>F</w:t>
      </w:r>
      <w:r w:rsidR="00264931">
        <w:t xml:space="preserve">ood </w:t>
      </w:r>
      <w:r w:rsidR="00911196">
        <w:t>S</w:t>
      </w:r>
      <w:r w:rsidR="00264931">
        <w:t xml:space="preserve">ecurity </w:t>
      </w:r>
      <w:r w:rsidR="00911196">
        <w:t>S</w:t>
      </w:r>
      <w:r w:rsidR="00264931">
        <w:t>upplement data have been published as ERS research reports.</w:t>
      </w:r>
      <w:r w:rsidR="0045551F">
        <w:t xml:space="preserve"> </w:t>
      </w:r>
      <w:r w:rsidR="001C6524">
        <w:t xml:space="preserve">A 2024 report, </w:t>
      </w:r>
      <w:r w:rsidR="001C6524">
        <w:rPr>
          <w:i/>
          <w:iCs/>
        </w:rPr>
        <w:t>Household Food Insecurity Across Race and Ethnicity in the United States, 2016-21</w:t>
      </w:r>
      <w:r w:rsidR="001C6524">
        <w:t xml:space="preserve"> (</w:t>
      </w:r>
      <w:hyperlink r:id="rId17" w:history="1">
        <w:r w:rsidRPr="00597C12" w:rsidR="001C6524">
          <w:rPr>
            <w:rStyle w:val="Hyperlink"/>
          </w:rPr>
          <w:t>https://www.ers.usda.gov/publications/pub-details/?pubid=108904</w:t>
        </w:r>
      </w:hyperlink>
      <w:r w:rsidR="001C6524">
        <w:t xml:space="preserve">), used Food Security Supplement data from 2016-21 to </w:t>
      </w:r>
      <w:r w:rsidR="006C7F8E">
        <w:t>produce detailed food-security statistics by the race and ethnicity of household respondents</w:t>
      </w:r>
      <w:r w:rsidR="001C6524">
        <w:t>.</w:t>
      </w:r>
      <w:r w:rsidR="006C7F8E">
        <w:t xml:space="preserve"> </w:t>
      </w:r>
      <w:r w:rsidR="00264931">
        <w:t>A</w:t>
      </w:r>
      <w:r w:rsidR="00C0097E">
        <w:t xml:space="preserve"> </w:t>
      </w:r>
      <w:r w:rsidR="00745E8D">
        <w:t xml:space="preserve">2021 report, </w:t>
      </w:r>
      <w:r w:rsidR="00745E8D">
        <w:rPr>
          <w:i/>
          <w:iCs/>
        </w:rPr>
        <w:t xml:space="preserve">Food Insecurity Among Working-Age Veterans </w:t>
      </w:r>
      <w:r w:rsidR="00745E8D">
        <w:t>(</w:t>
      </w:r>
      <w:hyperlink r:id="rId18" w:history="1">
        <w:r w:rsidRPr="009B3CF9" w:rsidR="00745E8D">
          <w:rPr>
            <w:rStyle w:val="Hyperlink"/>
          </w:rPr>
          <w:t>https://www.ers.usda.gov/publications/pub-details/?pubid=101268</w:t>
        </w:r>
      </w:hyperlink>
      <w:r w:rsidR="00745E8D">
        <w:t xml:space="preserve">), used </w:t>
      </w:r>
      <w:r w:rsidR="00911196">
        <w:t>F</w:t>
      </w:r>
      <w:r w:rsidR="00745E8D">
        <w:t xml:space="preserve">ood </w:t>
      </w:r>
      <w:r w:rsidR="00911196">
        <w:t>S</w:t>
      </w:r>
      <w:r w:rsidR="00745E8D">
        <w:t xml:space="preserve">ecurity </w:t>
      </w:r>
      <w:r w:rsidR="00911196">
        <w:t>S</w:t>
      </w:r>
      <w:r w:rsidR="00745E8D">
        <w:t xml:space="preserve">upplement data from 2015-19 </w:t>
      </w:r>
      <w:r w:rsidR="00C0097E">
        <w:t>to document the extent and severity of food insecurity among working-age veterans.</w:t>
      </w:r>
    </w:p>
    <w:p w:rsidR="000A6098" w:rsidP="0044145A" w14:paraId="1FD9A090" w14:textId="77777777">
      <w:pPr>
        <w:widowControl/>
        <w:ind w:left="720"/>
        <w:rPr>
          <w:b/>
        </w:rPr>
      </w:pPr>
      <w:r>
        <w:t xml:space="preserve"> </w:t>
      </w:r>
    </w:p>
    <w:p w:rsidR="000A6098" w14:paraId="1FD9A091" w14:textId="77777777">
      <w:pPr>
        <w:widowControl/>
        <w:rPr>
          <w:b/>
        </w:rPr>
      </w:pPr>
    </w:p>
    <w:p w:rsidR="000A6098" w:rsidP="00CC454F" w14:paraId="1FD9A092" w14:textId="77777777">
      <w:pPr>
        <w:keepNext/>
        <w:widowControl/>
        <w:ind w:left="720" w:hanging="720"/>
      </w:pPr>
      <w:r>
        <w:rPr>
          <w:b/>
        </w:rPr>
        <w:t xml:space="preserve">3. </w:t>
      </w:r>
      <w:r>
        <w:rPr>
          <w:b/>
        </w:rPr>
        <w:tab/>
      </w:r>
      <w:r w:rsidRPr="00CC454F">
        <w:rPr>
          <w:b/>
        </w:rPr>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w:t>
      </w:r>
      <w:r w:rsidR="00025F3E">
        <w:rPr>
          <w:b/>
        </w:rPr>
        <w:t xml:space="preserve"> </w:t>
      </w:r>
      <w:r w:rsidRPr="00CC454F">
        <w:rPr>
          <w:b/>
        </w:rPr>
        <w:t>describe any consideration of using information technology to reduce burden.</w:t>
      </w:r>
    </w:p>
    <w:p w:rsidR="003E1D2C" w14:paraId="1FD9A093" w14:textId="77777777">
      <w:pPr>
        <w:keepNext/>
        <w:widowControl/>
      </w:pPr>
    </w:p>
    <w:p w:rsidR="00AC5964" w:rsidP="00AC5964" w14:paraId="1FD9A094" w14:textId="77777777">
      <w:pPr>
        <w:widowControl/>
        <w:ind w:left="720"/>
      </w:pPr>
      <w:r>
        <w:t xml:space="preserve">This entire set of questions, as a supplement to the CPS, is designed to obtain the required information while keeping respondent burden to a minimum. The use of Computer Assisted Personal Interviewing (CAPI) and Computer Assisted Telephone Interviewing (CATI) is deemed the most appropriate collection method, given existing available information technology. </w:t>
      </w:r>
      <w:r>
        <w:t>The CAPI/CATI technology makes feasible the use of a multi-level screening pattern to reduce burden by skipping questions indicating more severe food insecurity if a hous</w:t>
      </w:r>
      <w:r w:rsidR="00E84496">
        <w:t>e</w:t>
      </w:r>
      <w:r>
        <w:t>hold shows no indications of food insecurity on several less severe questions.</w:t>
      </w:r>
      <w:r w:rsidR="006C028D">
        <w:t xml:space="preserve"> The computerized instrument also skips inappropriate questions such as those about children’s food security or use of child nutrition programs in households with no children.</w:t>
      </w:r>
    </w:p>
    <w:p w:rsidR="00700261" w:rsidP="00AC5964" w14:paraId="1FD9A095" w14:textId="77777777">
      <w:pPr>
        <w:widowControl/>
        <w:ind w:left="720"/>
      </w:pPr>
    </w:p>
    <w:p w:rsidR="000A6098" w14:paraId="1FD9A096" w14:textId="77777777">
      <w:pPr>
        <w:widowControl/>
      </w:pPr>
    </w:p>
    <w:p w:rsidR="000A6098" w:rsidP="00110ECD" w14:paraId="1FD9A097" w14:textId="77777777">
      <w:pPr>
        <w:widowControl/>
        <w:ind w:left="720" w:hanging="720"/>
      </w:pPr>
      <w:r>
        <w:rPr>
          <w:b/>
        </w:rPr>
        <w:t xml:space="preserve"> 4. </w:t>
      </w:r>
      <w:r>
        <w:rPr>
          <w:b/>
        </w:rPr>
        <w:tab/>
      </w:r>
      <w:r w:rsidRPr="00110ECD" w:rsidR="00110ECD">
        <w:rPr>
          <w:b/>
        </w:rPr>
        <w:t>Describe efforts to identify duplication. Show specifically why any similar information already available cannot be used or modified for use for the purposes described in Item 2 above.</w:t>
      </w:r>
      <w:r>
        <w:rPr>
          <w:b/>
        </w:rPr>
        <w:t xml:space="preserve">  </w:t>
      </w:r>
    </w:p>
    <w:p w:rsidR="00110ECD" w14:paraId="1FD9A098" w14:textId="77777777">
      <w:pPr>
        <w:widowControl/>
      </w:pPr>
    </w:p>
    <w:p w:rsidR="000A6098" w14:paraId="1FD9A099" w14:textId="1B3CA6E9">
      <w:pPr>
        <w:widowControl/>
        <w:ind w:left="720"/>
      </w:pPr>
      <w:r>
        <w:t xml:space="preserve">The CPS-FSS is the primary product for monitoring food security because it is collected regularity, has a sample size large enough to enable analyses of subgroups, and focuses on economic conditions. Other Federal surveys have also adopted measurement of food security to connect this measure of well-being to specific types of surveys or particular populations or outcomes. </w:t>
      </w:r>
      <w:r>
        <w:t>For example, the</w:t>
      </w:r>
      <w:r w:rsidR="003E43F0">
        <w:t xml:space="preserve"> N</w:t>
      </w:r>
      <w:r>
        <w:t>ational Health and Nutrition Examination Survey (NHANES)</w:t>
      </w:r>
      <w:r w:rsidR="00EB3038">
        <w:t>,</w:t>
      </w:r>
      <w:r>
        <w:t xml:space="preserve"> conducted by the National Center for Health Statistics</w:t>
      </w:r>
      <w:r w:rsidR="00EB3038">
        <w:t>,</w:t>
      </w:r>
      <w:r>
        <w:t xml:space="preserve"> includes the core food security items. The Census Bureau’s Survey of Income and Program Participation (SIPP) </w:t>
      </w:r>
      <w:r w:rsidR="00AF72C4">
        <w:t xml:space="preserve">has </w:t>
      </w:r>
      <w:r>
        <w:t>include</w:t>
      </w:r>
      <w:r w:rsidR="00AF72C4">
        <w:t>d</w:t>
      </w:r>
      <w:r>
        <w:t xml:space="preserve"> </w:t>
      </w:r>
      <w:r w:rsidR="00EB3038">
        <w:t xml:space="preserve">a subset of the core food security items in </w:t>
      </w:r>
      <w:r>
        <w:t xml:space="preserve">its occasional Topical Module on Well-Being. The </w:t>
      </w:r>
      <w:r w:rsidR="003E43F0">
        <w:t xml:space="preserve">National Center for Education Statistics has included the </w:t>
      </w:r>
      <w:r>
        <w:t xml:space="preserve">core food security questions </w:t>
      </w:r>
      <w:r w:rsidR="003E43F0">
        <w:t xml:space="preserve">in several administrations of its </w:t>
      </w:r>
      <w:r w:rsidR="00EB3038">
        <w:t xml:space="preserve">Early Childhood </w:t>
      </w:r>
      <w:r w:rsidR="003E43F0">
        <w:t>Longitudinal Study</w:t>
      </w:r>
      <w:r w:rsidR="00C4379B">
        <w:t xml:space="preserve"> (ECLS)</w:t>
      </w:r>
      <w:r w:rsidR="003E43F0">
        <w:t>—Kindergarten and Birth cohorts</w:t>
      </w:r>
      <w:r>
        <w:t xml:space="preserve">. </w:t>
      </w:r>
      <w:r w:rsidR="008B328F">
        <w:t xml:space="preserve">The National Center for Health Statistics includes the adult food security module on the National Health Interview Survey (NHIS). </w:t>
      </w:r>
      <w:r w:rsidR="00577418">
        <w:t xml:space="preserve">The American Housing Survey (AHS), sponsored by the Department of Housing and Urban Development, has included the adult food security module. </w:t>
      </w:r>
      <w:r>
        <w:t>However, these surveys are designed for specific research purposes</w:t>
      </w:r>
      <w:r w:rsidR="00EB3038">
        <w:t xml:space="preserve"> and</w:t>
      </w:r>
      <w:r w:rsidR="00196EE6">
        <w:t>,</w:t>
      </w:r>
      <w:r w:rsidR="00EB3038">
        <w:t xml:space="preserve"> while they are valuable for studying </w:t>
      </w:r>
      <w:r w:rsidR="00577418">
        <w:t xml:space="preserve">determinants and </w:t>
      </w:r>
      <w:r w:rsidR="00EB3038">
        <w:t>outcomes of food insecurity, they</w:t>
      </w:r>
      <w:r>
        <w:t xml:space="preserve"> do not provide suitable data for timely and reliable monitoring of the prevalence and severity of food insecurity in the Nation’s households and in critical subpopulations. </w:t>
      </w:r>
      <w:r w:rsidR="00C4379B">
        <w:t>NHANES has a relatively small sample and data are release</w:t>
      </w:r>
      <w:r w:rsidR="008B328F">
        <w:t>d</w:t>
      </w:r>
      <w:r w:rsidR="00C4379B">
        <w:t xml:space="preserve"> only every two years. SIPP has a larger sample but is longitudinal and has included only a partial food security module and </w:t>
      </w:r>
      <w:r w:rsidR="001B1B38">
        <w:t xml:space="preserve">is </w:t>
      </w:r>
      <w:r w:rsidR="00C4379B">
        <w:t xml:space="preserve">only </w:t>
      </w:r>
      <w:r w:rsidR="00340079">
        <w:t>conduct</w:t>
      </w:r>
      <w:r w:rsidR="001B1B38">
        <w:t>ed</w:t>
      </w:r>
      <w:r w:rsidR="00340079">
        <w:t xml:space="preserve"> </w:t>
      </w:r>
      <w:r w:rsidR="00C4379B">
        <w:t>ever</w:t>
      </w:r>
      <w:r w:rsidR="00555134">
        <w:t>y</w:t>
      </w:r>
      <w:r w:rsidR="00C4379B">
        <w:t xml:space="preserve"> several years. The ECLS surveys only cover households with children in selected age ranges and do not assess food security every year.</w:t>
      </w:r>
      <w:r w:rsidR="00005D06">
        <w:t xml:space="preserve"> </w:t>
      </w:r>
      <w:r w:rsidR="008B328F">
        <w:t xml:space="preserve">The NHIS </w:t>
      </w:r>
      <w:r w:rsidR="00CB302B">
        <w:t xml:space="preserve">only includes the adult food security module, does not have information on food expenditures, and State identifiers are not available in publicly released data. </w:t>
      </w:r>
      <w:r w:rsidR="00577418">
        <w:t>The AHS also only included the adult food security module</w:t>
      </w:r>
      <w:r w:rsidR="00874745">
        <w:t>. N</w:t>
      </w:r>
      <w:r w:rsidR="00005D06">
        <w:t>one of th</w:t>
      </w:r>
      <w:r w:rsidR="00DD1B25">
        <w:t>e</w:t>
      </w:r>
      <w:r w:rsidR="00005D06">
        <w:t xml:space="preserve">se surveys include the full complement of </w:t>
      </w:r>
      <w:r w:rsidR="009C2A26">
        <w:t>follow-up</w:t>
      </w:r>
      <w:r w:rsidR="00005D06">
        <w:t xml:space="preserve"> questions on</w:t>
      </w:r>
      <w:r w:rsidR="00DD1B25">
        <w:t xml:space="preserve"> the</w:t>
      </w:r>
      <w:r w:rsidR="00005D06">
        <w:t xml:space="preserve"> frequency and duration of food-insecure conditions nor the food spending and full range of Federal and community food and nutrition assistance program participation that are included in the CPS Food Security </w:t>
      </w:r>
      <w:r w:rsidR="00FE3F07">
        <w:t>Supplement and</w:t>
      </w:r>
      <w:r w:rsidR="00005D06">
        <w:t xml:space="preserve"> are important factors to be examined in conjunction with food security.</w:t>
      </w:r>
    </w:p>
    <w:p w:rsidR="00700261" w:rsidRPr="00EB3038" w14:paraId="1FD9A09A" w14:textId="77777777">
      <w:pPr>
        <w:widowControl/>
        <w:ind w:left="720"/>
      </w:pPr>
    </w:p>
    <w:p w:rsidR="00CF6FC0" w14:paraId="1FD9A09B" w14:textId="77777777">
      <w:pPr>
        <w:widowControl/>
      </w:pPr>
    </w:p>
    <w:p w:rsidR="000A6098" w:rsidP="00005D06" w14:paraId="1FD9A09C" w14:textId="77777777">
      <w:pPr>
        <w:widowControl/>
        <w:ind w:left="720" w:hanging="720"/>
      </w:pPr>
      <w:r>
        <w:t xml:space="preserve"> </w:t>
      </w:r>
      <w:r>
        <w:rPr>
          <w:b/>
        </w:rPr>
        <w:t xml:space="preserve">5. </w:t>
      </w:r>
      <w:r>
        <w:rPr>
          <w:b/>
        </w:rPr>
        <w:tab/>
      </w:r>
      <w:r w:rsidRPr="00005D06" w:rsidR="00005D06">
        <w:rPr>
          <w:b/>
        </w:rPr>
        <w:t xml:space="preserve">Describe efforts </w:t>
      </w:r>
      <w:r w:rsidR="009118ED">
        <w:rPr>
          <w:b/>
        </w:rPr>
        <w:t>to minimize burden on small business.</w:t>
      </w:r>
    </w:p>
    <w:p w:rsidR="000A6098" w14:paraId="1FD9A09D" w14:textId="77777777">
      <w:pPr>
        <w:widowControl/>
      </w:pPr>
    </w:p>
    <w:p w:rsidR="000A6098" w14:paraId="1FD9A09E" w14:textId="77777777">
      <w:pPr>
        <w:widowControl/>
        <w:ind w:left="720"/>
      </w:pPr>
      <w:r>
        <w:t>The collection of food security information does not involve small businesses or other small entities.</w:t>
      </w:r>
    </w:p>
    <w:p w:rsidR="000A6098" w14:paraId="1FD9A09F" w14:textId="77777777">
      <w:pPr>
        <w:widowControl/>
      </w:pPr>
    </w:p>
    <w:p w:rsidR="000A6098" w14:paraId="1FD9A0A0" w14:textId="77777777">
      <w:pPr>
        <w:widowControl/>
        <w:rPr>
          <w:b/>
        </w:rPr>
      </w:pPr>
    </w:p>
    <w:p w:rsidR="000A6098" w:rsidP="05FA3A93" w14:paraId="1FD9A0A1" w14:textId="39ECD518">
      <w:pPr>
        <w:keepNext/>
        <w:widowControl/>
        <w:ind w:left="720" w:hanging="720"/>
        <w:rPr>
          <w:b/>
        </w:rPr>
      </w:pPr>
      <w:r>
        <w:rPr>
          <w:b/>
        </w:rPr>
        <w:t xml:space="preserve">6. </w:t>
      </w:r>
      <w:r>
        <w:tab/>
      </w:r>
      <w:r w:rsidRPr="009118ED" w:rsidR="009118ED">
        <w:rPr>
          <w:b/>
        </w:rPr>
        <w:t>Describe the consequence to Federal program or policy activities if the collection is not conducted or is conducted less frequently, as well as any technical or legal obstacles to reducing burden.</w:t>
      </w:r>
    </w:p>
    <w:p w:rsidR="009118ED" w14:paraId="1FD9A0A2" w14:textId="77777777">
      <w:pPr>
        <w:pStyle w:val="BodyTextIndent"/>
      </w:pPr>
    </w:p>
    <w:p w:rsidR="000A6098" w:rsidP="00ED05AF" w14:paraId="1FD9A0A3" w14:textId="11844C39">
      <w:pPr>
        <w:pStyle w:val="BodyTextIndent"/>
      </w:pPr>
      <w:r w:rsidRPr="00ED05AF">
        <w:t xml:space="preserve">Data from the December CPS Food Security Supplement (CPS-FSS) is the official source of information on food security statistics for the U.S. population, a key indicator of the economic and material well-being of households utilized by the government, </w:t>
      </w:r>
      <w:r w:rsidRPr="00ED05AF">
        <w:t xml:space="preserve">nongovernmental organizations, researchers and the public to monitor progress towards </w:t>
      </w:r>
      <w:r w:rsidR="00124F49">
        <w:t xml:space="preserve">meeting </w:t>
      </w:r>
      <w:r w:rsidRPr="00ED05AF">
        <w:t>food security and programmatic goals. The USDA utilizes th</w:t>
      </w:r>
      <w:r w:rsidR="00B50501">
        <w:t>ese</w:t>
      </w:r>
      <w:r w:rsidRPr="00ED05AF">
        <w:t xml:space="preserve"> data to track progress toward USDA strategic objectives</w:t>
      </w:r>
      <w:r w:rsidR="00124F49">
        <w:t xml:space="preserve"> and to</w:t>
      </w:r>
      <w:r w:rsidRPr="00ED05AF">
        <w:t xml:space="preserve"> evaluate the effectiveness of USDA nutrition assistance programs</w:t>
      </w:r>
      <w:r w:rsidR="00124F49">
        <w:t>. T</w:t>
      </w:r>
      <w:r w:rsidR="00B50501">
        <w:t>he data</w:t>
      </w:r>
      <w:r w:rsidRPr="00ED05AF">
        <w:t xml:space="preserve"> are important for </w:t>
      </w:r>
      <w:r w:rsidR="00124F49">
        <w:t xml:space="preserve">the conduct of </w:t>
      </w:r>
      <w:r w:rsidRPr="00ED05AF">
        <w:t xml:space="preserve">research on economic, demographic, and programmatic factors affecting food security. </w:t>
      </w:r>
      <w:r w:rsidR="00124F49">
        <w:t>If these data were not collected, USDA would not be able to continue to monitor food security annually, the research described above could not be completed, and USDA would need to develop or find other means to evaluate the effectiveness of the nutrition assistance programs.  Further, n</w:t>
      </w:r>
      <w:r w:rsidRPr="00ED05AF">
        <w:t xml:space="preserve">ongovernmental organizations, such as </w:t>
      </w:r>
      <w:r w:rsidR="00124F49">
        <w:t xml:space="preserve">those that represent </w:t>
      </w:r>
      <w:r w:rsidRPr="00ED05AF">
        <w:t>food banks, utilize th</w:t>
      </w:r>
      <w:r w:rsidR="00124F49">
        <w:t>ese</w:t>
      </w:r>
      <w:r w:rsidRPr="00ED05AF">
        <w:t xml:space="preserve"> data to efficiently allocate resources to meet the food needs of households across the country. </w:t>
      </w:r>
      <w:r w:rsidR="00124F49">
        <w:t>If these data were not collected, these nongovernmental organizations would lack national level, high quality information to help assess their needs and objectives to help U.S. households meet the basic food needs. The data are also utilized by a</w:t>
      </w:r>
      <w:r w:rsidRPr="00ED05AF" w:rsidR="00124F49">
        <w:t xml:space="preserve">cademic </w:t>
      </w:r>
      <w:r w:rsidR="00124F49">
        <w:t xml:space="preserve">and other external </w:t>
      </w:r>
      <w:r w:rsidRPr="00ED05AF" w:rsidR="00124F49">
        <w:t xml:space="preserve">researchers </w:t>
      </w:r>
      <w:r w:rsidR="00124F49">
        <w:t>t</w:t>
      </w:r>
      <w:r w:rsidRPr="00ED05AF" w:rsidR="00124F49">
        <w:t>o study how economic, programmatic, and other factors affect the ability of U.S. households to meet their basic food needs.</w:t>
      </w:r>
      <w:r w:rsidR="00124F49">
        <w:t xml:space="preserve"> </w:t>
      </w:r>
      <w:r w:rsidR="00F765BF">
        <w:t xml:space="preserve">  </w:t>
      </w:r>
    </w:p>
    <w:p w:rsidR="000A6098" w14:paraId="1FD9A0A4" w14:textId="77777777">
      <w:pPr>
        <w:widowControl/>
      </w:pPr>
    </w:p>
    <w:p w:rsidR="000A6098" w14:paraId="1FD9A0A5" w14:textId="77777777">
      <w:pPr>
        <w:widowControl/>
      </w:pPr>
    </w:p>
    <w:p w:rsidR="000A6098" w:rsidRPr="009118ED" w:rsidP="009118ED" w14:paraId="1FD9A0A6" w14:textId="77777777">
      <w:pPr>
        <w:widowControl/>
        <w:ind w:left="720" w:hanging="720"/>
        <w:rPr>
          <w:b/>
        </w:rPr>
      </w:pPr>
      <w:r>
        <w:rPr>
          <w:b/>
        </w:rPr>
        <w:t xml:space="preserve">7. </w:t>
      </w:r>
      <w:r>
        <w:rPr>
          <w:b/>
        </w:rPr>
        <w:tab/>
      </w:r>
      <w:r w:rsidRPr="009118ED" w:rsidR="009118ED">
        <w:rPr>
          <w:b/>
        </w:rPr>
        <w:t>Explain any special circumstances that would cause an information collect</w:t>
      </w:r>
      <w:r w:rsidR="00194FFE">
        <w:rPr>
          <w:b/>
        </w:rPr>
        <w:t>ion to be conducted in a manner inconsistent with the guidelines set forth in CFR 1320.6:</w:t>
      </w:r>
    </w:p>
    <w:p w:rsidR="00582805" w:rsidRPr="00B2491D" w:rsidP="00582805" w14:paraId="1FD9A0A7" w14:textId="77777777">
      <w:pPr>
        <w:widowControl/>
        <w:spacing w:before="100" w:beforeAutospacing="1" w:after="100" w:afterAutospacing="1"/>
        <w:ind w:left="720"/>
        <w:rPr>
          <w:szCs w:val="24"/>
        </w:rPr>
      </w:pPr>
      <w:r w:rsidRPr="00B2491D">
        <w:rPr>
          <w:szCs w:val="24"/>
        </w:rPr>
        <w:t>There are no special circumstances.</w:t>
      </w:r>
    </w:p>
    <w:p w:rsidR="000A6098" w14:paraId="1FD9A0A8" w14:textId="77777777">
      <w:pPr>
        <w:widowControl/>
      </w:pPr>
    </w:p>
    <w:p w:rsidR="000A6098" w14:paraId="1FD9A0A9" w14:textId="77777777">
      <w:pPr>
        <w:widowControl/>
      </w:pPr>
    </w:p>
    <w:p w:rsidR="000A6098" w:rsidP="00582805" w14:paraId="1FD9A0AA" w14:textId="77777777">
      <w:pPr>
        <w:widowControl/>
        <w:ind w:left="720" w:hanging="720"/>
      </w:pPr>
      <w:r>
        <w:rPr>
          <w:b/>
        </w:rPr>
        <w:t xml:space="preserve">8. </w:t>
      </w:r>
      <w:r>
        <w:rPr>
          <w:b/>
        </w:rPr>
        <w:tab/>
      </w:r>
      <w:r w:rsidRPr="00582805" w:rsidR="00582805">
        <w:rPr>
          <w:b/>
        </w:rPr>
        <w:t>If applicable, provide a copy and identify the date and page number of publication in the Federal Register of the agency's notice, required by 5 CFR 1320.8 (d), soliciting comments on the information collection prior to submission to OMB. Summarize public comments received in response to that notice and describe actions taken by the agency in response to these comments. Specifically address comments received on cost and hour burden.</w:t>
      </w:r>
    </w:p>
    <w:p w:rsidR="002B4089" w:rsidP="002B4089" w14:paraId="1FD9A0AB" w14:textId="77777777">
      <w:pPr>
        <w:widowControl/>
      </w:pPr>
    </w:p>
    <w:p w:rsidR="00E75661" w:rsidP="00564F16" w14:paraId="1FD9A0AC" w14:textId="1F0F2261">
      <w:pPr>
        <w:pStyle w:val="BodyTextIndent"/>
      </w:pPr>
      <w:r>
        <w:t xml:space="preserve">Notice of Intent to Request Extension of a Currently Approved Information Collection was published in the Federal Register </w:t>
      </w:r>
      <w:r w:rsidRPr="00EC7BD6">
        <w:t xml:space="preserve">on </w:t>
      </w:r>
      <w:r w:rsidR="003F729C">
        <w:t>July 16, 2024</w:t>
      </w:r>
      <w:r w:rsidRPr="00EC7BD6">
        <w:t xml:space="preserve"> (Volume </w:t>
      </w:r>
      <w:r w:rsidRPr="00EC7BD6" w:rsidR="004831A0">
        <w:t>8</w:t>
      </w:r>
      <w:r w:rsidR="003F729C">
        <w:t>9</w:t>
      </w:r>
      <w:r w:rsidRPr="00EC7BD6">
        <w:t xml:space="preserve">, Number </w:t>
      </w:r>
      <w:r w:rsidR="003F729C">
        <w:t>136</w:t>
      </w:r>
      <w:r w:rsidRPr="00EC7BD6">
        <w:t xml:space="preserve">, Pages </w:t>
      </w:r>
      <w:r w:rsidR="003F729C">
        <w:t>57844-57845</w:t>
      </w:r>
      <w:r w:rsidRPr="00EC7BD6">
        <w:t>).</w:t>
      </w:r>
      <w:r w:rsidR="0099484F">
        <w:t xml:space="preserve"> A cop</w:t>
      </w:r>
      <w:r w:rsidR="001F5B00">
        <w:t>y of the notice is included as A</w:t>
      </w:r>
      <w:r w:rsidR="0099484F">
        <w:t>ttachment B.</w:t>
      </w:r>
      <w:r w:rsidR="004179D2">
        <w:t xml:space="preserve"> One</w:t>
      </w:r>
      <w:r w:rsidRPr="00237FD1" w:rsidR="00671A5F">
        <w:t xml:space="preserve"> </w:t>
      </w:r>
      <w:r w:rsidRPr="00237FD1" w:rsidR="001F5B00">
        <w:t>comment w</w:t>
      </w:r>
      <w:r w:rsidR="004179D2">
        <w:t>as</w:t>
      </w:r>
      <w:r w:rsidRPr="00237FD1" w:rsidR="001F5B00">
        <w:t xml:space="preserve"> received and </w:t>
      </w:r>
      <w:r w:rsidR="004179D2">
        <w:t>is</w:t>
      </w:r>
      <w:r w:rsidRPr="00237FD1" w:rsidR="001F5B00">
        <w:t xml:space="preserve"> included as Attachment C</w:t>
      </w:r>
      <w:r w:rsidR="00671A5F">
        <w:t xml:space="preserve"> along with the ERS </w:t>
      </w:r>
      <w:r w:rsidR="002A122C">
        <w:t>repl</w:t>
      </w:r>
      <w:r w:rsidR="00196EE6">
        <w:t>y</w:t>
      </w:r>
      <w:r w:rsidRPr="00237FD1" w:rsidR="001F5B00">
        <w:t xml:space="preserve">. </w:t>
      </w:r>
      <w:r w:rsidR="004179D2">
        <w:t>The comment expressed concerns about the accuracy and reliability of statistics produced using the Current Population Survey and Food Security Supplement. ERS responded and</w:t>
      </w:r>
      <w:r w:rsidR="00F02960">
        <w:t xml:space="preserve"> provided a summary of the steps that ERS and the Census Bureau have taken or are currently </w:t>
      </w:r>
      <w:r w:rsidR="0030476D">
        <w:t xml:space="preserve">taking </w:t>
      </w:r>
      <w:r w:rsidR="00F02960">
        <w:t>to ensure statistics based on the supplement are relevant, reliable and accurately describe the food expenditure, food security, and nutrition assistance program utilization of the U.S. population.</w:t>
      </w:r>
    </w:p>
    <w:p w:rsidR="002E38DF" w14:paraId="1FD9A0AD" w14:textId="77777777">
      <w:pPr>
        <w:widowControl/>
        <w:ind w:left="720" w:firstLine="720"/>
      </w:pPr>
    </w:p>
    <w:p w:rsidR="008F0B05" w:rsidRPr="009C0CB1" w14:paraId="1FD9A0AE" w14:textId="77777777">
      <w:pPr>
        <w:widowControl/>
        <w:ind w:left="720" w:firstLine="720"/>
      </w:pPr>
    </w:p>
    <w:p w:rsidR="000A6098" w:rsidRPr="009C0CB1" w:rsidP="00174439" w14:paraId="1FD9A0AF" w14:textId="77777777">
      <w:pPr>
        <w:widowControl/>
        <w:ind w:left="720" w:hanging="720"/>
      </w:pPr>
      <w:r w:rsidRPr="009C0CB1">
        <w:rPr>
          <w:b/>
        </w:rPr>
        <w:t xml:space="preserve"> </w:t>
      </w:r>
      <w:r w:rsidR="00174439">
        <w:rPr>
          <w:b/>
        </w:rPr>
        <w:t xml:space="preserve">9. </w:t>
      </w:r>
      <w:r w:rsidR="00174439">
        <w:rPr>
          <w:b/>
        </w:rPr>
        <w:tab/>
      </w:r>
      <w:r w:rsidRPr="00174439" w:rsidR="00174439">
        <w:rPr>
          <w:b/>
        </w:rPr>
        <w:t>Explain any decision to provide any payment or gift to respondents, other than re</w:t>
      </w:r>
      <w:r w:rsidR="00174439">
        <w:rPr>
          <w:b/>
        </w:rPr>
        <w:t>mun</w:t>
      </w:r>
      <w:r w:rsidRPr="00174439" w:rsidR="00174439">
        <w:rPr>
          <w:b/>
        </w:rPr>
        <w:t>eration of contractors or grantees.</w:t>
      </w:r>
    </w:p>
    <w:p w:rsidR="000A6098" w:rsidRPr="009C0CB1" w14:paraId="1FD9A0B0" w14:textId="77777777">
      <w:pPr>
        <w:widowControl/>
      </w:pPr>
    </w:p>
    <w:p w:rsidR="000A6098" w14:paraId="1FD9A0B1" w14:textId="77777777">
      <w:pPr>
        <w:widowControl/>
        <w:ind w:left="720"/>
      </w:pPr>
      <w:r>
        <w:t>Neither the USDA nor the</w:t>
      </w:r>
      <w:r w:rsidR="0049326B">
        <w:t xml:space="preserve"> U.S.</w:t>
      </w:r>
      <w:r>
        <w:t xml:space="preserve"> </w:t>
      </w:r>
      <w:r w:rsidR="00C77E9E">
        <w:t>Census Bureau</w:t>
      </w:r>
      <w:r w:rsidRPr="009C0CB1">
        <w:t xml:space="preserve"> make any payments or provide any gifts to individuals participating in the CPS</w:t>
      </w:r>
      <w:r>
        <w:t>.</w:t>
      </w:r>
    </w:p>
    <w:p w:rsidR="000A6098" w14:paraId="1FD9A0B2" w14:textId="77777777">
      <w:pPr>
        <w:widowControl/>
      </w:pPr>
    </w:p>
    <w:p w:rsidR="000A6098" w14:paraId="1FD9A0B3" w14:textId="77777777">
      <w:pPr>
        <w:widowControl/>
      </w:pPr>
    </w:p>
    <w:p w:rsidR="000A6098" w:rsidP="00684532" w14:paraId="1FD9A0B4" w14:textId="77777777">
      <w:pPr>
        <w:widowControl/>
        <w:ind w:left="720" w:hanging="720"/>
      </w:pPr>
      <w:r>
        <w:rPr>
          <w:b/>
        </w:rPr>
        <w:t xml:space="preserve">10. </w:t>
      </w:r>
      <w:r>
        <w:rPr>
          <w:b/>
        </w:rPr>
        <w:tab/>
      </w:r>
      <w:r w:rsidRPr="00684532" w:rsidR="00684532">
        <w:rPr>
          <w:b/>
        </w:rPr>
        <w:t>Describe any assurance of confidentiality provided to respondents and the basis for the assurance in statute, regulation, or agency policy.</w:t>
      </w:r>
    </w:p>
    <w:p w:rsidR="000A6098" w14:paraId="1FD9A0B5" w14:textId="77777777">
      <w:pPr>
        <w:widowControl/>
      </w:pPr>
    </w:p>
    <w:p w:rsidR="000A6098" w14:paraId="1FD9A0B6" w14:textId="77777777">
      <w:pPr>
        <w:widowControl/>
        <w:ind w:left="720"/>
      </w:pPr>
      <w:r>
        <w:t>The</w:t>
      </w:r>
      <w:r w:rsidR="001D7D8E">
        <w:t xml:space="preserve"> U.S.</w:t>
      </w:r>
      <w:r>
        <w:t xml:space="preserve"> Census Bureau will collect the </w:t>
      </w:r>
      <w:r w:rsidR="001D7D8E">
        <w:t>s</w:t>
      </w:r>
      <w:r>
        <w:t xml:space="preserve">upplement data in compliance with </w:t>
      </w:r>
      <w:r w:rsidR="00384A61">
        <w:t>13</w:t>
      </w:r>
      <w:r w:rsidR="004D273E">
        <w:t xml:space="preserve"> U.S.C. 182</w:t>
      </w:r>
      <w:r>
        <w:t xml:space="preserve">. Each sample household receives an advance letter approximately </w:t>
      </w:r>
      <w:r w:rsidR="001D7D8E">
        <w:t>one</w:t>
      </w:r>
      <w:r>
        <w:t xml:space="preserve"> week before the start of the initial CPS interview. </w:t>
      </w:r>
      <w:r w:rsidRPr="00EC7BD6">
        <w:t xml:space="preserve">(See Attachment </w:t>
      </w:r>
      <w:r w:rsidR="00FE2346">
        <w:t>E</w:t>
      </w:r>
      <w:r w:rsidRPr="00EC7BD6">
        <w:t>)</w:t>
      </w:r>
      <w:r w:rsidR="00043117">
        <w:t>.</w:t>
      </w:r>
      <w:r w:rsidRPr="00EC7BD6">
        <w:t xml:space="preserve"> This letter includes the information required </w:t>
      </w:r>
      <w:r w:rsidRPr="00EC7BD6" w:rsidR="0063416D">
        <w:t xml:space="preserve">by </w:t>
      </w:r>
      <w:r w:rsidRPr="00EC7BD6" w:rsidR="004D273E">
        <w:t>13 U.S.C. 9</w:t>
      </w:r>
      <w:r w:rsidRPr="00EC7BD6">
        <w:t>, explains the voluntary nature of the survey, and states the estimated time required for participating in the survey. Field representatives must ask if the respondent received the letter and, if not, provide a copy and allow the respondent sufficient time to read the contents. Also, field representatives provide households with the pamphlet</w:t>
      </w:r>
      <w:r w:rsidR="009047B8">
        <w:t xml:space="preserve"> </w:t>
      </w:r>
      <w:r w:rsidR="00FF01E9">
        <w:t>“</w:t>
      </w:r>
      <w:r w:rsidRPr="00EC7BD6">
        <w:t>The U.S. Census Bureau Respects Your Privacy and Keeps Your Personal Information Confidential.</w:t>
      </w:r>
      <w:r w:rsidR="00FF01E9">
        <w:t>”</w:t>
      </w:r>
      <w:r w:rsidRPr="00EC7BD6">
        <w:t xml:space="preserve"> </w:t>
      </w:r>
      <w:r w:rsidR="007A39C7">
        <w:t xml:space="preserve">Respondents also receive a pamphlet titled: “Fact Sheet for the Current Population Survey” </w:t>
      </w:r>
      <w:r w:rsidRPr="00EC7BD6">
        <w:t>(See Attachment</w:t>
      </w:r>
      <w:r w:rsidR="007A39C7">
        <w:t>s</w:t>
      </w:r>
      <w:r w:rsidRPr="00EC7BD6">
        <w:t xml:space="preserve"> </w:t>
      </w:r>
      <w:r w:rsidR="00FE2346">
        <w:t>F</w:t>
      </w:r>
      <w:r w:rsidR="007A39C7">
        <w:t xml:space="preserve"> and </w:t>
      </w:r>
      <w:r w:rsidR="00FE2346">
        <w:t>G</w:t>
      </w:r>
      <w:r w:rsidRPr="00EC7BD6">
        <w:t>)</w:t>
      </w:r>
      <w:r w:rsidR="007A39C7">
        <w:t>.</w:t>
      </w:r>
      <w:r w:rsidRPr="00EC7BD6">
        <w:t xml:space="preserve"> All</w:t>
      </w:r>
      <w:r>
        <w:t xml:space="preserve"> information given by respondents to</w:t>
      </w:r>
      <w:r w:rsidR="001D7D8E">
        <w:t xml:space="preserve"> U.S.</w:t>
      </w:r>
      <w:r>
        <w:t xml:space="preserve"> Census Bureau employees is held in strict confidence under 13</w:t>
      </w:r>
      <w:r w:rsidR="004D273E">
        <w:t xml:space="preserve"> U.S.C. </w:t>
      </w:r>
      <w:r>
        <w:t>9. Each</w:t>
      </w:r>
      <w:r w:rsidR="001D7D8E">
        <w:t xml:space="preserve"> U.S.</w:t>
      </w:r>
      <w:r>
        <w:t xml:space="preserve"> Census Bureau employee has taken an oath to that effect and is subject to a jail penalty and/or substantial fine if he/she discloses any information given to him/her. </w:t>
      </w:r>
    </w:p>
    <w:p w:rsidR="00684532" w14:paraId="1FD9A0B7" w14:textId="77777777">
      <w:pPr>
        <w:widowControl/>
        <w:ind w:left="720"/>
      </w:pPr>
    </w:p>
    <w:p w:rsidR="00684532" w14:paraId="1FD9A0B8" w14:textId="77777777">
      <w:pPr>
        <w:widowControl/>
        <w:ind w:left="720"/>
      </w:pPr>
      <w:r>
        <w:t>The sanitized</w:t>
      </w:r>
      <w:r>
        <w:t xml:space="preserve"> public-use micro-data are released by the U.S. Census Bureau subject to the Bureau’s confidentiality policies and only after authorization by the Confidentiality Disclosure Review Board.</w:t>
      </w:r>
    </w:p>
    <w:p w:rsidR="000A6098" w14:paraId="1FD9A0B9" w14:textId="77777777">
      <w:pPr>
        <w:widowControl/>
        <w:rPr>
          <w:b/>
        </w:rPr>
      </w:pPr>
    </w:p>
    <w:p w:rsidR="003A7EAE" w14:paraId="1FD9A0BA" w14:textId="77777777">
      <w:pPr>
        <w:widowControl/>
        <w:rPr>
          <w:b/>
        </w:rPr>
      </w:pPr>
    </w:p>
    <w:p w:rsidR="000A6098" w:rsidP="00684532" w14:paraId="1FD9A0BB" w14:textId="77777777">
      <w:pPr>
        <w:keepNext/>
        <w:keepLines/>
        <w:widowControl/>
        <w:ind w:left="720" w:hanging="720"/>
        <w:rPr>
          <w:b/>
        </w:rPr>
      </w:pPr>
      <w:r>
        <w:rPr>
          <w:b/>
        </w:rPr>
        <w:t xml:space="preserve">11. </w:t>
      </w:r>
      <w:r>
        <w:rPr>
          <w:b/>
        </w:rPr>
        <w:tab/>
      </w:r>
      <w:r w:rsidRPr="00684532" w:rsidR="00684532">
        <w:rPr>
          <w:b/>
        </w:rPr>
        <w:t>Provide additional justification for any questions of a sensitive nature, such as sexual behavior or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w:t>
      </w:r>
    </w:p>
    <w:p w:rsidR="000A6098" w:rsidP="005F48A6" w14:paraId="1FD9A0BC" w14:textId="77777777">
      <w:pPr>
        <w:keepNext/>
        <w:keepLines/>
        <w:widowControl/>
      </w:pPr>
    </w:p>
    <w:p w:rsidR="000A6098" w:rsidP="005F48A6" w14:paraId="1FD9A0BD" w14:textId="77777777">
      <w:pPr>
        <w:keepNext/>
        <w:keepLines/>
        <w:widowControl/>
        <w:ind w:left="720"/>
      </w:pPr>
      <w:r>
        <w:t>The Food Security Supplement does not contain any questions of a sensitive nature.</w:t>
      </w:r>
    </w:p>
    <w:p w:rsidR="000A6098" w14:paraId="1FD9A0BE" w14:textId="77777777">
      <w:pPr>
        <w:widowControl/>
      </w:pPr>
    </w:p>
    <w:p w:rsidR="000A6098" w14:paraId="1FD9A0BF" w14:textId="77777777">
      <w:pPr>
        <w:widowControl/>
      </w:pPr>
    </w:p>
    <w:p w:rsidR="000A6098" w:rsidP="00684532" w14:paraId="1FD9A0C0" w14:textId="77777777">
      <w:pPr>
        <w:keepNext/>
        <w:keepLines/>
        <w:widowControl/>
        <w:tabs>
          <w:tab w:val="left" w:pos="720"/>
        </w:tabs>
        <w:ind w:left="720" w:hanging="720"/>
        <w:rPr>
          <w:b/>
        </w:rPr>
      </w:pPr>
      <w:r>
        <w:rPr>
          <w:b/>
        </w:rPr>
        <w:t xml:space="preserve">12. </w:t>
      </w:r>
      <w:r>
        <w:rPr>
          <w:b/>
        </w:rPr>
        <w:tab/>
      </w:r>
      <w:r w:rsidRPr="00684532" w:rsidR="00684532">
        <w:rPr>
          <w:b/>
        </w:rPr>
        <w:t>Provide estimates of the hour burden of the collection of information. Indicate the number of respondents, frequency of response, annual hour burden, and an explanation of how the burden was estimated.</w:t>
      </w:r>
    </w:p>
    <w:p w:rsidR="008119BD" w:rsidP="00684532" w14:paraId="1FD9A0C1" w14:textId="77777777">
      <w:pPr>
        <w:keepNext/>
        <w:keepLines/>
        <w:widowControl/>
        <w:tabs>
          <w:tab w:val="left" w:pos="720"/>
        </w:tabs>
        <w:ind w:left="720" w:hanging="720"/>
      </w:pPr>
    </w:p>
    <w:p w:rsidR="0067104A" w:rsidP="00332103" w14:paraId="1FD9A0C2" w14:textId="77777777">
      <w:pPr>
        <w:numPr>
          <w:ilvl w:val="0"/>
          <w:numId w:val="13"/>
        </w:numPr>
        <w:tabs>
          <w:tab w:val="left" w:pos="1080"/>
        </w:tabs>
        <w:spacing w:before="100" w:beforeAutospacing="1" w:after="100" w:afterAutospacing="1"/>
        <w:rPr>
          <w:b/>
          <w:bCs/>
          <w:szCs w:val="24"/>
        </w:rPr>
      </w:pPr>
      <w:r w:rsidRPr="00684532">
        <w:rPr>
          <w:b/>
          <w:bCs/>
          <w:szCs w:val="24"/>
        </w:rPr>
        <w:t xml:space="preserve">Indicate the number of respondents, frequency of response, annual hour burden, and an explanation of how the burden was estimated. If this request for </w:t>
      </w:r>
      <w:r w:rsidRPr="00684532">
        <w:rPr>
          <w:b/>
          <w:bCs/>
          <w:szCs w:val="24"/>
        </w:rPr>
        <w:t>approval covers more than one form, provide separate hour burden estimates for each form and aggregate the hour burdens in Item 13 of OMB Form 83-I.</w:t>
      </w:r>
    </w:p>
    <w:p w:rsidR="00332103" w:rsidP="00332103" w14:paraId="1FD9A0C3" w14:textId="77777777">
      <w:pPr>
        <w:pStyle w:val="BodyTextIndent"/>
        <w:keepNext/>
        <w:keepLines/>
        <w:ind w:left="1080"/>
      </w:pPr>
    </w:p>
    <w:p w:rsidR="002861CB" w:rsidP="008D3D60" w14:paraId="1FD9A0C4" w14:textId="77777777">
      <w:pPr>
        <w:pStyle w:val="BodyTextIndent"/>
        <w:widowControl w:val="0"/>
        <w:ind w:left="1080"/>
      </w:pPr>
      <w:r>
        <w:t>An estimated 5</w:t>
      </w:r>
      <w:r w:rsidR="00324FF7">
        <w:t>1,937</w:t>
      </w:r>
      <w:r w:rsidR="00C77E9E">
        <w:t xml:space="preserve"> </w:t>
      </w:r>
      <w:r>
        <w:t xml:space="preserve">households will be interviewed each year. </w:t>
      </w:r>
      <w:r w:rsidR="00046355">
        <w:t xml:space="preserve">These burden estimates assumed the highest possible burden based on </w:t>
      </w:r>
      <w:r w:rsidR="00E24828">
        <w:t xml:space="preserve">estimates from </w:t>
      </w:r>
      <w:r w:rsidR="00046355">
        <w:t xml:space="preserve">recent surveys. The </w:t>
      </w:r>
      <w:r w:rsidRPr="00046355" w:rsidR="00046355">
        <w:t>total number of respondents from the recent survey</w:t>
      </w:r>
      <w:r w:rsidR="00E24828">
        <w:t>s</w:t>
      </w:r>
      <w:r w:rsidR="00734A16">
        <w:t xml:space="preserve"> (2017-19 and 2021-22)</w:t>
      </w:r>
      <w:r w:rsidRPr="00046355" w:rsidR="00046355">
        <w:t xml:space="preserve"> with the </w:t>
      </w:r>
      <w:r w:rsidR="00B256AF">
        <w:t>larg</w:t>
      </w:r>
      <w:r w:rsidRPr="00046355" w:rsidR="00B256AF">
        <w:t xml:space="preserve">est </w:t>
      </w:r>
      <w:r w:rsidR="00046355">
        <w:t>sample size</w:t>
      </w:r>
      <w:r w:rsidR="00E24828">
        <w:t>s</w:t>
      </w:r>
      <w:r w:rsidR="00046355">
        <w:t xml:space="preserve"> is used</w:t>
      </w:r>
      <w:r w:rsidRPr="00046355" w:rsidR="00046355">
        <w:t xml:space="preserve"> to estimate the total sample size</w:t>
      </w:r>
      <w:r w:rsidR="00046355">
        <w:t xml:space="preserve">. </w:t>
      </w:r>
      <w:r>
        <w:t xml:space="preserve">Most households will be interviewed one time per year in each of two successive years; the rest will be interviewed only one time. </w:t>
      </w:r>
      <w:r w:rsidRPr="00D05BA8" w:rsidR="00332103">
        <w:t xml:space="preserve">The estimated </w:t>
      </w:r>
      <w:r>
        <w:t xml:space="preserve">annual </w:t>
      </w:r>
      <w:r w:rsidRPr="00D05BA8" w:rsidR="00332103">
        <w:t>respondent burden</w:t>
      </w:r>
      <w:r>
        <w:t xml:space="preserve"> for the total sample</w:t>
      </w:r>
      <w:r w:rsidRPr="00D05BA8" w:rsidR="00332103">
        <w:t xml:space="preserve"> is </w:t>
      </w:r>
      <w:r w:rsidR="00332103">
        <w:t>6,</w:t>
      </w:r>
      <w:r w:rsidR="001D3192">
        <w:t>559</w:t>
      </w:r>
      <w:r w:rsidRPr="00D05BA8" w:rsidR="00C77E9E">
        <w:t xml:space="preserve"> </w:t>
      </w:r>
      <w:r w:rsidRPr="00D05BA8" w:rsidR="00332103">
        <w:t>hours</w:t>
      </w:r>
      <w:r w:rsidR="00226CC2">
        <w:t xml:space="preserve">; </w:t>
      </w:r>
      <w:r w:rsidRPr="00D05BA8" w:rsidR="00332103">
        <w:t xml:space="preserve">an average respondent burden of </w:t>
      </w:r>
      <w:r w:rsidR="00324FF7">
        <w:t>7.</w:t>
      </w:r>
      <w:r w:rsidR="001D3192">
        <w:t>4</w:t>
      </w:r>
      <w:r w:rsidRPr="00D05BA8" w:rsidR="003D0693">
        <w:t xml:space="preserve"> </w:t>
      </w:r>
      <w:r w:rsidRPr="00D05BA8" w:rsidR="00332103">
        <w:t xml:space="preserve">minutes for each of the </w:t>
      </w:r>
      <w:r w:rsidR="00332103">
        <w:t>5</w:t>
      </w:r>
      <w:r w:rsidR="00324FF7">
        <w:t>1,937</w:t>
      </w:r>
      <w:r w:rsidRPr="00D05BA8" w:rsidR="00046355">
        <w:t xml:space="preserve"> </w:t>
      </w:r>
      <w:r w:rsidRPr="00D05BA8" w:rsidR="00332103">
        <w:t xml:space="preserve">households </w:t>
      </w:r>
      <w:r w:rsidR="00332103">
        <w:t xml:space="preserve">expected to be </w:t>
      </w:r>
      <w:r w:rsidRPr="00D05BA8" w:rsidR="00332103">
        <w:t xml:space="preserve">in the </w:t>
      </w:r>
      <w:r w:rsidR="001D7D8E">
        <w:t>s</w:t>
      </w:r>
      <w:r w:rsidRPr="00D05BA8" w:rsidR="00332103">
        <w:t xml:space="preserve">upplement universe. </w:t>
      </w:r>
      <w:r w:rsidR="00C77E9E">
        <w:t xml:space="preserve">The estimate </w:t>
      </w:r>
      <w:r w:rsidR="00C878B1">
        <w:t xml:space="preserve">assumes an 80 percent response rate to the supplement and </w:t>
      </w:r>
      <w:r w:rsidR="00C77E9E">
        <w:t xml:space="preserve">is based on the average proportion of </w:t>
      </w:r>
      <w:r>
        <w:t>sampled households</w:t>
      </w:r>
      <w:r w:rsidR="00C77E9E">
        <w:t xml:space="preserve"> that were asked each question and typical reading and response times for the questions</w:t>
      </w:r>
      <w:r w:rsidR="001D3192">
        <w:t xml:space="preserve"> in the revised survey</w:t>
      </w:r>
      <w:r w:rsidR="00734A16">
        <w:t xml:space="preserve"> implemented in 2022</w:t>
      </w:r>
      <w:r>
        <w:t>.</w:t>
      </w:r>
      <w:r w:rsidRPr="00D37C6A" w:rsidR="00D37C6A">
        <w:t xml:space="preserve"> </w:t>
      </w:r>
      <w:r w:rsidR="00046355">
        <w:t>Data</w:t>
      </w:r>
      <w:r w:rsidR="001D7D8E">
        <w:t xml:space="preserve"> from 2020</w:t>
      </w:r>
      <w:r w:rsidR="00046355">
        <w:t xml:space="preserve"> was not </w:t>
      </w:r>
      <w:r w:rsidR="00734A16">
        <w:t>used to</w:t>
      </w:r>
      <w:r w:rsidR="00180CA3">
        <w:t xml:space="preserve"> determine the sample size </w:t>
      </w:r>
      <w:r w:rsidR="00046355">
        <w:t xml:space="preserve">because CPS response rates were affected by the </w:t>
      </w:r>
      <w:r w:rsidR="00180CA3">
        <w:t xml:space="preserve">onset of the </w:t>
      </w:r>
      <w:r w:rsidR="00046355">
        <w:t>COVID-19 pandemic</w:t>
      </w:r>
      <w:r w:rsidR="0059797A">
        <w:t>.</w:t>
      </w:r>
    </w:p>
    <w:p w:rsidR="002861CB" w:rsidP="00C77E9E" w14:paraId="1FD9A0C5" w14:textId="77777777">
      <w:pPr>
        <w:pStyle w:val="BodyTextIndent"/>
        <w:keepNext/>
        <w:keepLines/>
        <w:ind w:left="1080"/>
      </w:pPr>
    </w:p>
    <w:p w:rsidR="00D37C6A" w:rsidP="00C77E9E" w14:paraId="1FD9A0C6" w14:textId="77777777">
      <w:pPr>
        <w:pStyle w:val="BodyTextIndent"/>
        <w:keepNext/>
        <w:keepLines/>
        <w:ind w:left="1080"/>
      </w:pPr>
      <w:r>
        <w:t>An estimated 4</w:t>
      </w:r>
      <w:r w:rsidR="0059797A">
        <w:t>1,550</w:t>
      </w:r>
      <w:r>
        <w:t xml:space="preserve"> households will complete the Food Security Supplement</w:t>
      </w:r>
      <w:r w:rsidR="005F3367">
        <w:t xml:space="preserve"> </w:t>
      </w:r>
      <w:r>
        <w:t>(respondents)</w:t>
      </w:r>
      <w:r>
        <w:t>. This</w:t>
      </w:r>
      <w:r w:rsidR="00C77E9E">
        <w:t xml:space="preserve"> estimate assumes an 80 percent response rate to the supplement. </w:t>
      </w:r>
      <w:r>
        <w:t xml:space="preserve">The average respondent </w:t>
      </w:r>
      <w:r>
        <w:t xml:space="preserve">burden is </w:t>
      </w:r>
      <w:r w:rsidR="0059797A">
        <w:t>9.</w:t>
      </w:r>
      <w:r w:rsidR="005B1691">
        <w:t>2</w:t>
      </w:r>
      <w:r>
        <w:t xml:space="preserve"> minutes for </w:t>
      </w:r>
      <w:r w:rsidR="00C878B1">
        <w:t xml:space="preserve">each of the </w:t>
      </w:r>
      <w:r>
        <w:t xml:space="preserve">supplement respondents. This estimate </w:t>
      </w:r>
      <w:r w:rsidR="001D7D8E">
        <w:t>accounts for</w:t>
      </w:r>
      <w:r>
        <w:t xml:space="preserve"> screening within the supplement and the average proportion of respondent households that answered each section based on their screening status and</w:t>
      </w:r>
      <w:r w:rsidR="001D7D8E">
        <w:t xml:space="preserve"> the</w:t>
      </w:r>
      <w:r>
        <w:t xml:space="preserve"> presence of children. </w:t>
      </w:r>
    </w:p>
    <w:p w:rsidR="00D37C6A" w:rsidP="00C77E9E" w14:paraId="1FD9A0C7" w14:textId="77777777">
      <w:pPr>
        <w:pStyle w:val="BodyTextIndent"/>
        <w:keepNext/>
        <w:keepLines/>
        <w:ind w:left="1080"/>
      </w:pPr>
    </w:p>
    <w:p w:rsidR="00D37C6A" w:rsidP="00D37C6A" w14:paraId="1FD9A0C8" w14:textId="77777777">
      <w:pPr>
        <w:pStyle w:val="BodyTextIndent"/>
        <w:keepNext/>
        <w:keepLines/>
        <w:ind w:left="1080"/>
      </w:pPr>
      <w:r>
        <w:t>An estimated 10,</w:t>
      </w:r>
      <w:r w:rsidR="0059797A">
        <w:t>387</w:t>
      </w:r>
      <w:r>
        <w:t xml:space="preserve"> households will not complete the </w:t>
      </w:r>
      <w:r w:rsidR="00C878B1">
        <w:t>s</w:t>
      </w:r>
      <w:r>
        <w:t xml:space="preserve">upplement (non-respondents). The average burden is 1 minute for supplement non-respondents. This estimate assumes that non-respondents only hear the </w:t>
      </w:r>
      <w:r w:rsidR="00C878B1">
        <w:t>one</w:t>
      </w:r>
      <w:r w:rsidR="00046355">
        <w:t>-</w:t>
      </w:r>
      <w:r w:rsidR="00C878B1">
        <w:t>minute introduction to the s</w:t>
      </w:r>
      <w:r>
        <w:t xml:space="preserve">upplement.  </w:t>
      </w:r>
    </w:p>
    <w:p w:rsidR="00D37C6A" w:rsidP="00C77E9E" w14:paraId="1FD9A0C9" w14:textId="77777777">
      <w:pPr>
        <w:pStyle w:val="BodyTextIndent"/>
        <w:keepNext/>
        <w:keepLines/>
        <w:ind w:left="1080"/>
      </w:pPr>
    </w:p>
    <w:p w:rsidR="00332103" w:rsidP="00C77E9E" w14:paraId="1FD9A0CA" w14:textId="77777777">
      <w:pPr>
        <w:pStyle w:val="BodyTextIndent"/>
        <w:keepNext/>
        <w:keepLines/>
        <w:ind w:left="1080"/>
      </w:pPr>
      <w:r w:rsidRPr="00D05BA8">
        <w:t>The table below provides a breakdown of the number of households expected to complete different parts of the Food Security Supplement questionnaire and average and total response time for households in each category</w:t>
      </w:r>
      <w:r w:rsidR="0048248C">
        <w:t xml:space="preserve"> based on </w:t>
      </w:r>
      <w:r w:rsidR="00497636">
        <w:t xml:space="preserve">recent </w:t>
      </w:r>
      <w:r w:rsidR="0048248C">
        <w:t>CPS-FSS data collections</w:t>
      </w:r>
      <w:r w:rsidRPr="00D05BA8">
        <w:t>.</w:t>
      </w:r>
      <w:r w:rsidR="00254B88">
        <w:t xml:space="preserve"> The sample size represents the maximum number of respondents to the 2017-19 and 2021-22 data collections. Average response times were determined based on respondents’</w:t>
      </w:r>
      <w:r w:rsidR="00800565">
        <w:t xml:space="preserve"> typical</w:t>
      </w:r>
      <w:r w:rsidR="00254B88">
        <w:t xml:space="preserve"> responses to the 2022 data collection due to the change in instrument implemented that year and continuing for future data collections.</w:t>
      </w:r>
      <w:r>
        <w:t xml:space="preserve"> </w:t>
      </w:r>
    </w:p>
    <w:p w:rsidR="002533ED" w:rsidP="002533ED" w14:paraId="1FD9A0CB" w14:textId="77777777">
      <w:pPr>
        <w:widowControl/>
        <w:ind w:left="720"/>
      </w:pPr>
    </w:p>
    <w:p w:rsidR="002533ED" w:rsidRPr="003A7EAE" w:rsidP="008D3D60" w14:paraId="1FD9A0CC" w14:textId="4C4B93EE">
      <w:pPr>
        <w:widowControl/>
        <w:ind w:left="1080"/>
      </w:pPr>
      <w:r w:rsidRPr="00D05BA8">
        <w:t xml:space="preserve">About </w:t>
      </w:r>
      <w:r>
        <w:t>5</w:t>
      </w:r>
      <w:r w:rsidR="00800565">
        <w:t>7</w:t>
      </w:r>
      <w:r w:rsidRPr="00D05BA8">
        <w:t xml:space="preserve"> percent of the </w:t>
      </w:r>
      <w:r>
        <w:t xml:space="preserve">respondent </w:t>
      </w:r>
      <w:r w:rsidRPr="00D05BA8">
        <w:t xml:space="preserve">sample is expected to </w:t>
      </w:r>
      <w:r>
        <w:t xml:space="preserve">be </w:t>
      </w:r>
      <w:r w:rsidRPr="00F170DB">
        <w:t>households with incomes above 185</w:t>
      </w:r>
      <w:r>
        <w:t xml:space="preserve"> percent</w:t>
      </w:r>
      <w:r w:rsidRPr="00F170DB">
        <w:t xml:space="preserve"> of the poverty line who indicate no food security problem</w:t>
      </w:r>
      <w:r>
        <w:t>s</w:t>
      </w:r>
      <w:r w:rsidRPr="00F170DB">
        <w:t xml:space="preserve"> on questions S9 and SS1 and therefore answer only the food expenditure and food sufficiency questions</w:t>
      </w:r>
      <w:r>
        <w:t xml:space="preserve"> (S1 to S9 and SS1</w:t>
      </w:r>
      <w:r w:rsidR="00467428">
        <w:t>; approximately 14 total questions</w:t>
      </w:r>
      <w:r>
        <w:t>)</w:t>
      </w:r>
      <w:r w:rsidRPr="00F170DB">
        <w:t xml:space="preserve">. </w:t>
      </w:r>
      <w:r>
        <w:t xml:space="preserve">The remaining respondents, lower-income households and households screened in based on S9 or SS1 (categories 3 and 4), will also answer questions about their food security and use of nutrition assistance programs. The number of questions these </w:t>
      </w:r>
      <w:r>
        <w:t xml:space="preserve">households answer depends on whether the household includes children and on how food insecure the household is, as questions about more severe food-insecure conditions are screened for administration based on </w:t>
      </w:r>
      <w:r w:rsidRPr="000D67F2">
        <w:t>responses to questions about less severe conditions. Based on average responses in the</w:t>
      </w:r>
      <w:r w:rsidR="00800565">
        <w:t xml:space="preserve"> 2022</w:t>
      </w:r>
      <w:r w:rsidRPr="000D67F2">
        <w:t xml:space="preserve"> survey, lower</w:t>
      </w:r>
      <w:r>
        <w:t xml:space="preserve"> </w:t>
      </w:r>
      <w:r w:rsidRPr="000D67F2">
        <w:t>income or screened in households with children will answer, on average, 3</w:t>
      </w:r>
      <w:r w:rsidR="00563774">
        <w:t>6</w:t>
      </w:r>
      <w:r w:rsidRPr="000D67F2">
        <w:t xml:space="preserve"> questions and lower</w:t>
      </w:r>
      <w:r>
        <w:t xml:space="preserve"> </w:t>
      </w:r>
      <w:r w:rsidRPr="000D67F2">
        <w:t>income or screened in households with no child will answer, on average</w:t>
      </w:r>
      <w:r>
        <w:t>,</w:t>
      </w:r>
      <w:r w:rsidRPr="000D67F2">
        <w:t xml:space="preserve"> 2</w:t>
      </w:r>
      <w:r w:rsidR="00800565">
        <w:t>6</w:t>
      </w:r>
      <w:r w:rsidRPr="000D67F2">
        <w:t xml:space="preserve"> questions</w:t>
      </w:r>
      <w:r>
        <w:t xml:space="preserve">. </w:t>
      </w:r>
      <w:r w:rsidR="00F765BF">
        <w:t xml:space="preserve">The income screener to identify households above or below 185 percent of the poverty line is updated annually in the instrument specification to reflect changes in the poverty thresholds each year </w:t>
      </w:r>
      <w:r w:rsidR="002B0B2C">
        <w:t>(See Attachment A, “POORCK” specification</w:t>
      </w:r>
      <w:r w:rsidR="00F765BF">
        <w:t xml:space="preserve">. </w:t>
      </w:r>
    </w:p>
    <w:p w:rsidR="002533ED" w:rsidRPr="003A7EAE" w:rsidP="002533ED" w14:paraId="1FD9A0CD" w14:textId="77777777">
      <w:pPr>
        <w:widowControl/>
      </w:pPr>
    </w:p>
    <w:p w:rsidR="002533ED" w:rsidRPr="003A7EAE" w:rsidP="008D3D60" w14:paraId="1FD9A0CE" w14:textId="77777777">
      <w:pPr>
        <w:widowControl/>
        <w:ind w:left="720" w:firstLine="360"/>
      </w:pPr>
      <w:r>
        <w:t>Average times are based on timed readings of questions and typical responses.</w:t>
      </w:r>
    </w:p>
    <w:p w:rsidR="002533ED" w:rsidP="00C77E9E" w14:paraId="1FD9A0CF" w14:textId="77777777">
      <w:pPr>
        <w:pStyle w:val="BodyTextIndent"/>
        <w:keepNext/>
        <w:keepLines/>
        <w:ind w:left="1080"/>
      </w:pPr>
    </w:p>
    <w:p w:rsidR="00A45561" w:rsidP="00C77E9E" w14:paraId="1FD9A0D0" w14:textId="77777777">
      <w:pPr>
        <w:widowControl/>
        <w:jc w:val="center"/>
        <w:rPr>
          <w:rFonts w:ascii="Arial" w:hAnsi="Arial" w:cs="Arial"/>
          <w:b/>
          <w:bCs/>
          <w:snapToGrid/>
          <w:sz w:val="18"/>
          <w:szCs w:val="18"/>
        </w:rPr>
      </w:pPr>
    </w:p>
    <w:p w:rsidR="00FF01E9" w:rsidP="00C77E9E" w14:paraId="1FD9A0D1" w14:textId="77777777">
      <w:pPr>
        <w:widowControl/>
        <w:jc w:val="center"/>
        <w:rPr>
          <w:rFonts w:ascii="Arial" w:hAnsi="Arial" w:cs="Arial"/>
          <w:b/>
          <w:bCs/>
          <w:snapToGrid/>
          <w:sz w:val="18"/>
          <w:szCs w:val="18"/>
        </w:rPr>
        <w:sectPr w:rsidSect="00C244E1">
          <w:footerReference w:type="default" r:id="rId19"/>
          <w:endnotePr>
            <w:numFmt w:val="decimal"/>
          </w:endnotePr>
          <w:type w:val="continuous"/>
          <w:pgSz w:w="12240" w:h="15840"/>
          <w:pgMar w:top="1440" w:right="1440" w:bottom="1440" w:left="1440" w:header="2160" w:footer="1440" w:gutter="0"/>
          <w:cols w:space="720"/>
          <w:noEndnote/>
          <w:docGrid w:linePitch="326"/>
        </w:sectPr>
      </w:pPr>
    </w:p>
    <w:tbl>
      <w:tblPr>
        <w:tblW w:w="14275" w:type="dxa"/>
        <w:tblInd w:w="113" w:type="dxa"/>
        <w:tblLayout w:type="fixed"/>
        <w:tblLook w:val="04A0"/>
      </w:tblPr>
      <w:tblGrid>
        <w:gridCol w:w="2875"/>
        <w:gridCol w:w="900"/>
        <w:gridCol w:w="630"/>
        <w:gridCol w:w="810"/>
        <w:gridCol w:w="810"/>
        <w:gridCol w:w="720"/>
        <w:gridCol w:w="900"/>
        <w:gridCol w:w="990"/>
        <w:gridCol w:w="810"/>
        <w:gridCol w:w="720"/>
        <w:gridCol w:w="900"/>
        <w:gridCol w:w="1530"/>
        <w:gridCol w:w="1680"/>
      </w:tblGrid>
      <w:tr w14:paraId="1FD9A0D8" w14:textId="77777777" w:rsidTr="005C5D7B">
        <w:tblPrEx>
          <w:tblW w:w="14275" w:type="dxa"/>
          <w:tblInd w:w="113" w:type="dxa"/>
          <w:tblLayout w:type="fixed"/>
          <w:tblLook w:val="04A0"/>
        </w:tblPrEx>
        <w:trPr>
          <w:gridAfter w:val="1"/>
          <w:wAfter w:w="1680" w:type="dxa"/>
          <w:trHeight w:val="297"/>
        </w:trPr>
        <w:tc>
          <w:tcPr>
            <w:tcW w:w="28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F01E9" w:rsidRPr="00FF01E9" w:rsidP="00FF01E9" w14:paraId="1FD9A0D2" w14:textId="77777777">
            <w:pPr>
              <w:widowControl/>
              <w:jc w:val="center"/>
              <w:rPr>
                <w:rFonts w:ascii="Arial" w:hAnsi="Arial" w:cs="Arial"/>
                <w:b/>
                <w:bCs/>
                <w:snapToGrid/>
                <w:sz w:val="18"/>
                <w:szCs w:val="18"/>
              </w:rPr>
            </w:pPr>
            <w:r w:rsidRPr="00FF01E9">
              <w:rPr>
                <w:rFonts w:ascii="Arial" w:hAnsi="Arial" w:cs="Arial"/>
                <w:b/>
                <w:bCs/>
                <w:snapToGrid/>
                <w:sz w:val="18"/>
                <w:szCs w:val="18"/>
              </w:rPr>
              <w:t>Current Population Survey Food Security Supplement</w:t>
            </w:r>
          </w:p>
        </w:tc>
        <w:tc>
          <w:tcPr>
            <w:tcW w:w="9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F01E9" w:rsidRPr="00FF01E9" w:rsidP="00FF01E9" w14:paraId="1FD9A0D3" w14:textId="77777777">
            <w:pPr>
              <w:widowControl/>
              <w:jc w:val="center"/>
              <w:rPr>
                <w:rFonts w:ascii="Arial" w:hAnsi="Arial" w:cs="Arial"/>
                <w:b/>
                <w:bCs/>
                <w:snapToGrid/>
                <w:sz w:val="18"/>
                <w:szCs w:val="18"/>
              </w:rPr>
            </w:pPr>
            <w:r w:rsidRPr="00FF01E9">
              <w:rPr>
                <w:rFonts w:ascii="Arial" w:hAnsi="Arial" w:cs="Arial"/>
                <w:b/>
                <w:bCs/>
                <w:snapToGrid/>
                <w:sz w:val="18"/>
                <w:szCs w:val="18"/>
              </w:rPr>
              <w:t>Sample Size</w:t>
            </w:r>
          </w:p>
        </w:tc>
        <w:tc>
          <w:tcPr>
            <w:tcW w:w="63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F01E9" w:rsidRPr="00FF01E9" w:rsidP="00FF01E9" w14:paraId="1FD9A0D4" w14:textId="77777777">
            <w:pPr>
              <w:widowControl/>
              <w:jc w:val="center"/>
              <w:rPr>
                <w:rFonts w:ascii="Arial" w:hAnsi="Arial" w:cs="Arial"/>
                <w:b/>
                <w:bCs/>
                <w:snapToGrid/>
                <w:sz w:val="18"/>
                <w:szCs w:val="18"/>
              </w:rPr>
            </w:pPr>
            <w:r w:rsidRPr="00FF01E9">
              <w:rPr>
                <w:rFonts w:ascii="Arial" w:hAnsi="Arial" w:cs="Arial"/>
                <w:b/>
                <w:bCs/>
                <w:snapToGrid/>
                <w:sz w:val="18"/>
                <w:szCs w:val="18"/>
              </w:rPr>
              <w:t>Freq</w:t>
            </w:r>
          </w:p>
        </w:tc>
        <w:tc>
          <w:tcPr>
            <w:tcW w:w="3240"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F01E9" w:rsidRPr="00FF01E9" w:rsidP="00FF01E9" w14:paraId="1FD9A0D5" w14:textId="77777777">
            <w:pPr>
              <w:widowControl/>
              <w:jc w:val="center"/>
              <w:rPr>
                <w:rFonts w:ascii="Arial" w:hAnsi="Arial" w:cs="Arial"/>
                <w:b/>
                <w:bCs/>
                <w:snapToGrid/>
                <w:sz w:val="18"/>
                <w:szCs w:val="18"/>
              </w:rPr>
            </w:pPr>
            <w:r w:rsidRPr="00FF01E9">
              <w:rPr>
                <w:rFonts w:ascii="Arial" w:hAnsi="Arial" w:cs="Arial"/>
                <w:b/>
                <w:bCs/>
                <w:snapToGrid/>
                <w:sz w:val="18"/>
                <w:szCs w:val="18"/>
              </w:rPr>
              <w:t>Responses</w:t>
            </w:r>
          </w:p>
        </w:tc>
        <w:tc>
          <w:tcPr>
            <w:tcW w:w="3420"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F01E9" w:rsidRPr="00FF01E9" w:rsidP="00FF01E9" w14:paraId="1FD9A0D6" w14:textId="77777777">
            <w:pPr>
              <w:widowControl/>
              <w:jc w:val="center"/>
              <w:rPr>
                <w:rFonts w:ascii="Arial" w:hAnsi="Arial" w:cs="Arial"/>
                <w:b/>
                <w:bCs/>
                <w:snapToGrid/>
                <w:sz w:val="18"/>
                <w:szCs w:val="18"/>
              </w:rPr>
            </w:pPr>
            <w:r w:rsidRPr="00FF01E9">
              <w:rPr>
                <w:rFonts w:ascii="Arial" w:hAnsi="Arial" w:cs="Arial"/>
                <w:b/>
                <w:bCs/>
                <w:snapToGrid/>
                <w:sz w:val="18"/>
                <w:szCs w:val="18"/>
              </w:rPr>
              <w:t>Non-response</w:t>
            </w:r>
          </w:p>
        </w:tc>
        <w:tc>
          <w:tcPr>
            <w:tcW w:w="153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F01E9" w:rsidRPr="00FF01E9" w:rsidP="00FF01E9" w14:paraId="1FD9A0D7" w14:textId="77777777">
            <w:pPr>
              <w:widowControl/>
              <w:jc w:val="center"/>
              <w:rPr>
                <w:rFonts w:ascii="Arial" w:hAnsi="Arial" w:cs="Arial"/>
                <w:b/>
                <w:bCs/>
                <w:snapToGrid/>
                <w:sz w:val="18"/>
                <w:szCs w:val="18"/>
              </w:rPr>
            </w:pPr>
            <w:r w:rsidRPr="00FF01E9">
              <w:rPr>
                <w:rFonts w:ascii="Arial" w:hAnsi="Arial" w:cs="Arial"/>
                <w:b/>
                <w:bCs/>
                <w:snapToGrid/>
                <w:sz w:val="18"/>
                <w:szCs w:val="18"/>
              </w:rPr>
              <w:t>Total Burden Hours</w:t>
            </w:r>
          </w:p>
        </w:tc>
      </w:tr>
      <w:tr w14:paraId="1FD9A0E0" w14:textId="77777777" w:rsidTr="005C5D7B">
        <w:tblPrEx>
          <w:tblW w:w="14275" w:type="dxa"/>
          <w:tblInd w:w="113" w:type="dxa"/>
          <w:tblLayout w:type="fixed"/>
          <w:tblLook w:val="04A0"/>
        </w:tblPrEx>
        <w:trPr>
          <w:trHeight w:val="297"/>
        </w:trPr>
        <w:tc>
          <w:tcPr>
            <w:tcW w:w="2875" w:type="dxa"/>
            <w:vMerge/>
            <w:tcBorders>
              <w:top w:val="single" w:sz="4" w:space="0" w:color="auto"/>
              <w:left w:val="single" w:sz="4" w:space="0" w:color="auto"/>
              <w:bottom w:val="single" w:sz="4" w:space="0" w:color="auto"/>
              <w:right w:val="single" w:sz="4" w:space="0" w:color="auto"/>
            </w:tcBorders>
            <w:vAlign w:val="center"/>
            <w:hideMark/>
          </w:tcPr>
          <w:p w:rsidR="00FF01E9" w:rsidRPr="00FF01E9" w:rsidP="00FF01E9" w14:paraId="1FD9A0D9" w14:textId="77777777">
            <w:pPr>
              <w:widowControl/>
              <w:rPr>
                <w:rFonts w:ascii="Arial" w:hAnsi="Arial" w:cs="Arial"/>
                <w:b/>
                <w:bCs/>
                <w:snapToGrid/>
                <w:sz w:val="18"/>
                <w:szCs w:val="18"/>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rsidR="00FF01E9" w:rsidRPr="00FF01E9" w:rsidP="00FF01E9" w14:paraId="1FD9A0DA" w14:textId="77777777">
            <w:pPr>
              <w:widowControl/>
              <w:rPr>
                <w:rFonts w:ascii="Arial" w:hAnsi="Arial" w:cs="Arial"/>
                <w:b/>
                <w:bCs/>
                <w:snapToGrid/>
                <w:sz w:val="18"/>
                <w:szCs w:val="18"/>
              </w:rPr>
            </w:pPr>
          </w:p>
        </w:tc>
        <w:tc>
          <w:tcPr>
            <w:tcW w:w="630" w:type="dxa"/>
            <w:vMerge/>
            <w:tcBorders>
              <w:top w:val="single" w:sz="4" w:space="0" w:color="auto"/>
              <w:left w:val="single" w:sz="4" w:space="0" w:color="auto"/>
              <w:bottom w:val="single" w:sz="4" w:space="0" w:color="auto"/>
              <w:right w:val="single" w:sz="4" w:space="0" w:color="auto"/>
            </w:tcBorders>
            <w:vAlign w:val="center"/>
            <w:hideMark/>
          </w:tcPr>
          <w:p w:rsidR="00FF01E9" w:rsidRPr="00FF01E9" w:rsidP="00FF01E9" w14:paraId="1FD9A0DB" w14:textId="77777777">
            <w:pPr>
              <w:widowControl/>
              <w:rPr>
                <w:rFonts w:ascii="Arial" w:hAnsi="Arial" w:cs="Arial"/>
                <w:b/>
                <w:bCs/>
                <w:snapToGrid/>
                <w:sz w:val="18"/>
                <w:szCs w:val="18"/>
              </w:rPr>
            </w:pPr>
          </w:p>
        </w:tc>
        <w:tc>
          <w:tcPr>
            <w:tcW w:w="3240" w:type="dxa"/>
            <w:gridSpan w:val="4"/>
            <w:vMerge/>
            <w:tcBorders>
              <w:top w:val="single" w:sz="4" w:space="0" w:color="auto"/>
              <w:left w:val="single" w:sz="4" w:space="0" w:color="auto"/>
              <w:bottom w:val="single" w:sz="4" w:space="0" w:color="auto"/>
              <w:right w:val="single" w:sz="4" w:space="0" w:color="auto"/>
            </w:tcBorders>
            <w:vAlign w:val="center"/>
            <w:hideMark/>
          </w:tcPr>
          <w:p w:rsidR="00FF01E9" w:rsidRPr="00FF01E9" w:rsidP="00FF01E9" w14:paraId="1FD9A0DC" w14:textId="77777777">
            <w:pPr>
              <w:widowControl/>
              <w:rPr>
                <w:rFonts w:ascii="Arial" w:hAnsi="Arial" w:cs="Arial"/>
                <w:b/>
                <w:bCs/>
                <w:snapToGrid/>
                <w:sz w:val="18"/>
                <w:szCs w:val="18"/>
              </w:rPr>
            </w:pPr>
          </w:p>
        </w:tc>
        <w:tc>
          <w:tcPr>
            <w:tcW w:w="3420" w:type="dxa"/>
            <w:gridSpan w:val="4"/>
            <w:vMerge/>
            <w:tcBorders>
              <w:top w:val="single" w:sz="4" w:space="0" w:color="auto"/>
              <w:left w:val="single" w:sz="4" w:space="0" w:color="auto"/>
              <w:bottom w:val="single" w:sz="4" w:space="0" w:color="auto"/>
              <w:right w:val="single" w:sz="4" w:space="0" w:color="auto"/>
            </w:tcBorders>
            <w:vAlign w:val="center"/>
            <w:hideMark/>
          </w:tcPr>
          <w:p w:rsidR="00FF01E9" w:rsidRPr="00FF01E9" w:rsidP="00FF01E9" w14:paraId="1FD9A0DD" w14:textId="77777777">
            <w:pPr>
              <w:widowControl/>
              <w:rPr>
                <w:rFonts w:ascii="Arial" w:hAnsi="Arial" w:cs="Arial"/>
                <w:b/>
                <w:bCs/>
                <w:snapToGrid/>
                <w:sz w:val="18"/>
                <w:szCs w:val="18"/>
              </w:rPr>
            </w:pPr>
          </w:p>
        </w:tc>
        <w:tc>
          <w:tcPr>
            <w:tcW w:w="1530" w:type="dxa"/>
            <w:vMerge/>
            <w:tcBorders>
              <w:top w:val="single" w:sz="4" w:space="0" w:color="auto"/>
              <w:left w:val="single" w:sz="4" w:space="0" w:color="auto"/>
              <w:bottom w:val="single" w:sz="4" w:space="0" w:color="auto"/>
              <w:right w:val="single" w:sz="4" w:space="0" w:color="auto"/>
            </w:tcBorders>
            <w:vAlign w:val="center"/>
            <w:hideMark/>
          </w:tcPr>
          <w:p w:rsidR="00FF01E9" w:rsidRPr="00FF01E9" w:rsidP="00FF01E9" w14:paraId="1FD9A0DE" w14:textId="77777777">
            <w:pPr>
              <w:widowControl/>
              <w:rPr>
                <w:rFonts w:ascii="Arial" w:hAnsi="Arial" w:cs="Arial"/>
                <w:b/>
                <w:bCs/>
                <w:snapToGrid/>
                <w:sz w:val="18"/>
                <w:szCs w:val="18"/>
              </w:rPr>
            </w:pPr>
          </w:p>
        </w:tc>
        <w:tc>
          <w:tcPr>
            <w:tcW w:w="1680" w:type="dxa"/>
            <w:tcBorders>
              <w:top w:val="nil"/>
              <w:left w:val="nil"/>
              <w:bottom w:val="nil"/>
              <w:right w:val="nil"/>
            </w:tcBorders>
            <w:shd w:val="clear" w:color="auto" w:fill="auto"/>
            <w:noWrap/>
            <w:vAlign w:val="bottom"/>
            <w:hideMark/>
          </w:tcPr>
          <w:p w:rsidR="00FF01E9" w:rsidRPr="00FF01E9" w:rsidP="00FF01E9" w14:paraId="1FD9A0DF" w14:textId="77777777">
            <w:pPr>
              <w:widowControl/>
              <w:jc w:val="center"/>
              <w:rPr>
                <w:rFonts w:ascii="Arial" w:hAnsi="Arial" w:cs="Arial"/>
                <w:b/>
                <w:bCs/>
                <w:snapToGrid/>
                <w:sz w:val="18"/>
                <w:szCs w:val="18"/>
              </w:rPr>
            </w:pPr>
          </w:p>
        </w:tc>
      </w:tr>
      <w:tr w14:paraId="1FD9A0EE" w14:textId="77777777" w:rsidTr="005C5D7B">
        <w:tblPrEx>
          <w:tblW w:w="14275" w:type="dxa"/>
          <w:tblInd w:w="113" w:type="dxa"/>
          <w:tblLayout w:type="fixed"/>
          <w:tblLook w:val="04A0"/>
        </w:tblPrEx>
        <w:trPr>
          <w:trHeight w:val="297"/>
        </w:trPr>
        <w:tc>
          <w:tcPr>
            <w:tcW w:w="2875" w:type="dxa"/>
            <w:vMerge/>
            <w:tcBorders>
              <w:top w:val="single" w:sz="4" w:space="0" w:color="auto"/>
              <w:left w:val="single" w:sz="4" w:space="0" w:color="auto"/>
              <w:bottom w:val="single" w:sz="4" w:space="0" w:color="auto"/>
              <w:right w:val="single" w:sz="4" w:space="0" w:color="auto"/>
            </w:tcBorders>
            <w:vAlign w:val="center"/>
            <w:hideMark/>
          </w:tcPr>
          <w:p w:rsidR="00FF01E9" w:rsidRPr="00FF01E9" w:rsidP="00FF01E9" w14:paraId="1FD9A0E1" w14:textId="77777777">
            <w:pPr>
              <w:widowControl/>
              <w:rPr>
                <w:rFonts w:ascii="Arial" w:hAnsi="Arial" w:cs="Arial"/>
                <w:b/>
                <w:bCs/>
                <w:snapToGrid/>
                <w:sz w:val="18"/>
                <w:szCs w:val="18"/>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rsidR="00FF01E9" w:rsidRPr="00FF01E9" w:rsidP="00FF01E9" w14:paraId="1FD9A0E2" w14:textId="77777777">
            <w:pPr>
              <w:widowControl/>
              <w:rPr>
                <w:rFonts w:ascii="Arial" w:hAnsi="Arial" w:cs="Arial"/>
                <w:b/>
                <w:bCs/>
                <w:snapToGrid/>
                <w:sz w:val="18"/>
                <w:szCs w:val="18"/>
              </w:rPr>
            </w:pPr>
          </w:p>
        </w:tc>
        <w:tc>
          <w:tcPr>
            <w:tcW w:w="630" w:type="dxa"/>
            <w:vMerge/>
            <w:tcBorders>
              <w:top w:val="single" w:sz="4" w:space="0" w:color="auto"/>
              <w:left w:val="single" w:sz="4" w:space="0" w:color="auto"/>
              <w:bottom w:val="single" w:sz="4" w:space="0" w:color="auto"/>
              <w:right w:val="single" w:sz="4" w:space="0" w:color="auto"/>
            </w:tcBorders>
            <w:vAlign w:val="center"/>
            <w:hideMark/>
          </w:tcPr>
          <w:p w:rsidR="00FF01E9" w:rsidRPr="00FF01E9" w:rsidP="00FF01E9" w14:paraId="1FD9A0E3" w14:textId="77777777">
            <w:pPr>
              <w:widowControl/>
              <w:rPr>
                <w:rFonts w:ascii="Arial" w:hAnsi="Arial" w:cs="Arial"/>
                <w:b/>
                <w:bCs/>
                <w:snapToGrid/>
                <w:sz w:val="18"/>
                <w:szCs w:val="18"/>
              </w:rPr>
            </w:pPr>
          </w:p>
        </w:tc>
        <w:tc>
          <w:tcPr>
            <w:tcW w:w="810" w:type="dxa"/>
            <w:vMerge w:val="restart"/>
            <w:tcBorders>
              <w:top w:val="nil"/>
              <w:left w:val="single" w:sz="4" w:space="0" w:color="auto"/>
              <w:bottom w:val="single" w:sz="4" w:space="0" w:color="auto"/>
              <w:right w:val="single" w:sz="4" w:space="0" w:color="auto"/>
            </w:tcBorders>
            <w:shd w:val="clear" w:color="auto" w:fill="auto"/>
            <w:vAlign w:val="center"/>
            <w:hideMark/>
          </w:tcPr>
          <w:p w:rsidR="00FF01E9" w:rsidRPr="00FF01E9" w:rsidP="00FF01E9" w14:paraId="1FD9A0E4" w14:textId="77777777">
            <w:pPr>
              <w:widowControl/>
              <w:jc w:val="center"/>
              <w:rPr>
                <w:rFonts w:ascii="Arial" w:hAnsi="Arial" w:cs="Arial"/>
                <w:b/>
                <w:bCs/>
                <w:snapToGrid/>
                <w:sz w:val="18"/>
                <w:szCs w:val="18"/>
              </w:rPr>
            </w:pPr>
            <w:r w:rsidRPr="00FF01E9">
              <w:rPr>
                <w:rFonts w:ascii="Arial" w:hAnsi="Arial" w:cs="Arial"/>
                <w:b/>
                <w:bCs/>
                <w:snapToGrid/>
                <w:sz w:val="18"/>
                <w:szCs w:val="18"/>
              </w:rPr>
              <w:t>Resp. Count</w:t>
            </w:r>
          </w:p>
        </w:tc>
        <w:tc>
          <w:tcPr>
            <w:tcW w:w="810" w:type="dxa"/>
            <w:vMerge w:val="restart"/>
            <w:tcBorders>
              <w:top w:val="nil"/>
              <w:left w:val="single" w:sz="4" w:space="0" w:color="auto"/>
              <w:bottom w:val="single" w:sz="4" w:space="0" w:color="auto"/>
              <w:right w:val="single" w:sz="4" w:space="0" w:color="auto"/>
            </w:tcBorders>
            <w:shd w:val="clear" w:color="auto" w:fill="auto"/>
            <w:vAlign w:val="center"/>
            <w:hideMark/>
          </w:tcPr>
          <w:p w:rsidR="00FF01E9" w:rsidRPr="00FF01E9" w:rsidP="00FF01E9" w14:paraId="1FD9A0E5" w14:textId="77777777">
            <w:pPr>
              <w:widowControl/>
              <w:jc w:val="center"/>
              <w:rPr>
                <w:rFonts w:ascii="Arial" w:hAnsi="Arial" w:cs="Arial"/>
                <w:b/>
                <w:bCs/>
                <w:snapToGrid/>
                <w:sz w:val="18"/>
                <w:szCs w:val="18"/>
              </w:rPr>
            </w:pPr>
            <w:r w:rsidRPr="00FF01E9">
              <w:rPr>
                <w:rFonts w:ascii="Arial" w:hAnsi="Arial" w:cs="Arial"/>
                <w:b/>
                <w:bCs/>
                <w:snapToGrid/>
                <w:sz w:val="18"/>
                <w:szCs w:val="18"/>
              </w:rPr>
              <w:t>Freq x Count</w:t>
            </w:r>
          </w:p>
        </w:tc>
        <w:tc>
          <w:tcPr>
            <w:tcW w:w="720" w:type="dxa"/>
            <w:vMerge w:val="restart"/>
            <w:tcBorders>
              <w:top w:val="nil"/>
              <w:left w:val="single" w:sz="4" w:space="0" w:color="auto"/>
              <w:bottom w:val="single" w:sz="4" w:space="0" w:color="auto"/>
              <w:right w:val="single" w:sz="4" w:space="0" w:color="auto"/>
            </w:tcBorders>
            <w:shd w:val="clear" w:color="auto" w:fill="auto"/>
            <w:vAlign w:val="center"/>
            <w:hideMark/>
          </w:tcPr>
          <w:p w:rsidR="00FF01E9" w:rsidRPr="00FF01E9" w:rsidP="00FF01E9" w14:paraId="1FD9A0E6" w14:textId="77777777">
            <w:pPr>
              <w:widowControl/>
              <w:jc w:val="center"/>
              <w:rPr>
                <w:rFonts w:ascii="Arial" w:hAnsi="Arial" w:cs="Arial"/>
                <w:b/>
                <w:bCs/>
                <w:snapToGrid/>
                <w:sz w:val="18"/>
                <w:szCs w:val="18"/>
              </w:rPr>
            </w:pPr>
            <w:r w:rsidRPr="00FF01E9">
              <w:rPr>
                <w:rFonts w:ascii="Arial" w:hAnsi="Arial" w:cs="Arial"/>
                <w:b/>
                <w:bCs/>
                <w:snapToGrid/>
                <w:sz w:val="18"/>
                <w:szCs w:val="18"/>
              </w:rPr>
              <w:t>Min./ Resp.</w:t>
            </w:r>
          </w:p>
        </w:tc>
        <w:tc>
          <w:tcPr>
            <w:tcW w:w="900" w:type="dxa"/>
            <w:vMerge w:val="restart"/>
            <w:tcBorders>
              <w:top w:val="nil"/>
              <w:left w:val="single" w:sz="4" w:space="0" w:color="auto"/>
              <w:bottom w:val="single" w:sz="4" w:space="0" w:color="auto"/>
              <w:right w:val="single" w:sz="4" w:space="0" w:color="auto"/>
            </w:tcBorders>
            <w:shd w:val="clear" w:color="auto" w:fill="auto"/>
            <w:vAlign w:val="center"/>
            <w:hideMark/>
          </w:tcPr>
          <w:p w:rsidR="00FF01E9" w:rsidRPr="00FF01E9" w:rsidP="00FF01E9" w14:paraId="1FD9A0E7" w14:textId="77777777">
            <w:pPr>
              <w:widowControl/>
              <w:jc w:val="center"/>
              <w:rPr>
                <w:rFonts w:ascii="Arial" w:hAnsi="Arial" w:cs="Arial"/>
                <w:b/>
                <w:bCs/>
                <w:snapToGrid/>
                <w:sz w:val="18"/>
                <w:szCs w:val="18"/>
              </w:rPr>
            </w:pPr>
            <w:r w:rsidRPr="00FF01E9">
              <w:rPr>
                <w:rFonts w:ascii="Arial" w:hAnsi="Arial" w:cs="Arial"/>
                <w:b/>
                <w:bCs/>
                <w:snapToGrid/>
                <w:sz w:val="18"/>
                <w:szCs w:val="18"/>
              </w:rPr>
              <w:t>Burden Hours</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rsidR="00FF01E9" w:rsidRPr="00FF01E9" w:rsidP="00FF01E9" w14:paraId="1FD9A0E8" w14:textId="77777777">
            <w:pPr>
              <w:widowControl/>
              <w:jc w:val="center"/>
              <w:rPr>
                <w:rFonts w:ascii="Arial" w:hAnsi="Arial" w:cs="Arial"/>
                <w:b/>
                <w:bCs/>
                <w:snapToGrid/>
                <w:sz w:val="18"/>
                <w:szCs w:val="18"/>
              </w:rPr>
            </w:pPr>
            <w:r w:rsidRPr="00FF01E9">
              <w:rPr>
                <w:rFonts w:ascii="Arial" w:hAnsi="Arial" w:cs="Arial"/>
                <w:b/>
                <w:bCs/>
                <w:snapToGrid/>
                <w:sz w:val="18"/>
                <w:szCs w:val="18"/>
              </w:rPr>
              <w:t>Nonresp Count</w:t>
            </w:r>
          </w:p>
        </w:tc>
        <w:tc>
          <w:tcPr>
            <w:tcW w:w="810" w:type="dxa"/>
            <w:vMerge w:val="restart"/>
            <w:tcBorders>
              <w:top w:val="nil"/>
              <w:left w:val="single" w:sz="4" w:space="0" w:color="auto"/>
              <w:bottom w:val="single" w:sz="4" w:space="0" w:color="auto"/>
              <w:right w:val="single" w:sz="4" w:space="0" w:color="auto"/>
            </w:tcBorders>
            <w:shd w:val="clear" w:color="auto" w:fill="auto"/>
            <w:vAlign w:val="center"/>
            <w:hideMark/>
          </w:tcPr>
          <w:p w:rsidR="00FF01E9" w:rsidRPr="00FF01E9" w:rsidP="00FF01E9" w14:paraId="1FD9A0E9" w14:textId="77777777">
            <w:pPr>
              <w:widowControl/>
              <w:jc w:val="center"/>
              <w:rPr>
                <w:rFonts w:ascii="Arial" w:hAnsi="Arial" w:cs="Arial"/>
                <w:b/>
                <w:bCs/>
                <w:snapToGrid/>
                <w:sz w:val="18"/>
                <w:szCs w:val="18"/>
              </w:rPr>
            </w:pPr>
            <w:r w:rsidRPr="00FF01E9">
              <w:rPr>
                <w:rFonts w:ascii="Arial" w:hAnsi="Arial" w:cs="Arial"/>
                <w:b/>
                <w:bCs/>
                <w:snapToGrid/>
                <w:sz w:val="18"/>
                <w:szCs w:val="18"/>
              </w:rPr>
              <w:t>Freq. x Count</w:t>
            </w:r>
          </w:p>
        </w:tc>
        <w:tc>
          <w:tcPr>
            <w:tcW w:w="720" w:type="dxa"/>
            <w:vMerge w:val="restart"/>
            <w:tcBorders>
              <w:top w:val="nil"/>
              <w:left w:val="single" w:sz="4" w:space="0" w:color="auto"/>
              <w:bottom w:val="single" w:sz="4" w:space="0" w:color="auto"/>
              <w:right w:val="single" w:sz="4" w:space="0" w:color="auto"/>
            </w:tcBorders>
            <w:shd w:val="clear" w:color="auto" w:fill="auto"/>
            <w:vAlign w:val="center"/>
            <w:hideMark/>
          </w:tcPr>
          <w:p w:rsidR="00FF01E9" w:rsidRPr="00FF01E9" w:rsidP="00FF01E9" w14:paraId="1FD9A0EA" w14:textId="77777777">
            <w:pPr>
              <w:widowControl/>
              <w:jc w:val="center"/>
              <w:rPr>
                <w:rFonts w:ascii="Arial" w:hAnsi="Arial" w:cs="Arial"/>
                <w:b/>
                <w:bCs/>
                <w:snapToGrid/>
                <w:sz w:val="18"/>
                <w:szCs w:val="18"/>
              </w:rPr>
            </w:pPr>
            <w:r w:rsidRPr="00FF01E9">
              <w:rPr>
                <w:rFonts w:ascii="Arial" w:hAnsi="Arial" w:cs="Arial"/>
                <w:b/>
                <w:bCs/>
                <w:snapToGrid/>
                <w:sz w:val="18"/>
                <w:szCs w:val="18"/>
              </w:rPr>
              <w:t>Min./ Nonr.</w:t>
            </w:r>
          </w:p>
        </w:tc>
        <w:tc>
          <w:tcPr>
            <w:tcW w:w="900" w:type="dxa"/>
            <w:vMerge w:val="restart"/>
            <w:tcBorders>
              <w:top w:val="nil"/>
              <w:left w:val="single" w:sz="4" w:space="0" w:color="auto"/>
              <w:bottom w:val="single" w:sz="4" w:space="0" w:color="auto"/>
              <w:right w:val="single" w:sz="4" w:space="0" w:color="auto"/>
            </w:tcBorders>
            <w:shd w:val="clear" w:color="auto" w:fill="auto"/>
            <w:vAlign w:val="center"/>
            <w:hideMark/>
          </w:tcPr>
          <w:p w:rsidR="00FF01E9" w:rsidRPr="00FF01E9" w:rsidP="00FF01E9" w14:paraId="1FD9A0EB" w14:textId="77777777">
            <w:pPr>
              <w:widowControl/>
              <w:jc w:val="center"/>
              <w:rPr>
                <w:rFonts w:ascii="Arial" w:hAnsi="Arial" w:cs="Arial"/>
                <w:b/>
                <w:bCs/>
                <w:snapToGrid/>
                <w:sz w:val="18"/>
                <w:szCs w:val="18"/>
              </w:rPr>
            </w:pPr>
            <w:r w:rsidRPr="00FF01E9">
              <w:rPr>
                <w:rFonts w:ascii="Arial" w:hAnsi="Arial" w:cs="Arial"/>
                <w:b/>
                <w:bCs/>
                <w:snapToGrid/>
                <w:sz w:val="18"/>
                <w:szCs w:val="18"/>
              </w:rPr>
              <w:t>Burden Hours</w:t>
            </w:r>
          </w:p>
        </w:tc>
        <w:tc>
          <w:tcPr>
            <w:tcW w:w="1530" w:type="dxa"/>
            <w:vMerge/>
            <w:tcBorders>
              <w:top w:val="single" w:sz="4" w:space="0" w:color="auto"/>
              <w:left w:val="single" w:sz="4" w:space="0" w:color="auto"/>
              <w:bottom w:val="single" w:sz="4" w:space="0" w:color="auto"/>
              <w:right w:val="single" w:sz="4" w:space="0" w:color="auto"/>
            </w:tcBorders>
            <w:vAlign w:val="center"/>
            <w:hideMark/>
          </w:tcPr>
          <w:p w:rsidR="00FF01E9" w:rsidRPr="00FF01E9" w:rsidP="00FF01E9" w14:paraId="1FD9A0EC" w14:textId="77777777">
            <w:pPr>
              <w:widowControl/>
              <w:rPr>
                <w:rFonts w:ascii="Arial" w:hAnsi="Arial" w:cs="Arial"/>
                <w:b/>
                <w:bCs/>
                <w:snapToGrid/>
                <w:sz w:val="18"/>
                <w:szCs w:val="18"/>
              </w:rPr>
            </w:pPr>
          </w:p>
        </w:tc>
        <w:tc>
          <w:tcPr>
            <w:tcW w:w="1680" w:type="dxa"/>
            <w:vAlign w:val="center"/>
            <w:hideMark/>
          </w:tcPr>
          <w:p w:rsidR="00FF01E9" w:rsidRPr="00FF01E9" w:rsidP="00FF01E9" w14:paraId="1FD9A0ED" w14:textId="77777777">
            <w:pPr>
              <w:widowControl/>
              <w:rPr>
                <w:snapToGrid/>
                <w:sz w:val="20"/>
              </w:rPr>
            </w:pPr>
          </w:p>
        </w:tc>
      </w:tr>
      <w:tr w14:paraId="1FD9A0FC" w14:textId="77777777" w:rsidTr="005C5D7B">
        <w:tblPrEx>
          <w:tblW w:w="14275" w:type="dxa"/>
          <w:tblInd w:w="113" w:type="dxa"/>
          <w:tblLayout w:type="fixed"/>
          <w:tblLook w:val="04A0"/>
        </w:tblPrEx>
        <w:trPr>
          <w:trHeight w:val="297"/>
        </w:trPr>
        <w:tc>
          <w:tcPr>
            <w:tcW w:w="2875" w:type="dxa"/>
            <w:vMerge/>
            <w:tcBorders>
              <w:top w:val="single" w:sz="4" w:space="0" w:color="auto"/>
              <w:left w:val="single" w:sz="4" w:space="0" w:color="auto"/>
              <w:bottom w:val="single" w:sz="4" w:space="0" w:color="auto"/>
              <w:right w:val="single" w:sz="4" w:space="0" w:color="auto"/>
            </w:tcBorders>
            <w:vAlign w:val="center"/>
            <w:hideMark/>
          </w:tcPr>
          <w:p w:rsidR="00FF01E9" w:rsidRPr="00FF01E9" w:rsidP="00FF01E9" w14:paraId="1FD9A0EF" w14:textId="77777777">
            <w:pPr>
              <w:widowControl/>
              <w:rPr>
                <w:rFonts w:ascii="Arial" w:hAnsi="Arial" w:cs="Arial"/>
                <w:b/>
                <w:bCs/>
                <w:snapToGrid/>
                <w:sz w:val="18"/>
                <w:szCs w:val="18"/>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rsidR="00FF01E9" w:rsidRPr="00FF01E9" w:rsidP="00FF01E9" w14:paraId="1FD9A0F0" w14:textId="77777777">
            <w:pPr>
              <w:widowControl/>
              <w:rPr>
                <w:rFonts w:ascii="Arial" w:hAnsi="Arial" w:cs="Arial"/>
                <w:b/>
                <w:bCs/>
                <w:snapToGrid/>
                <w:sz w:val="18"/>
                <w:szCs w:val="18"/>
              </w:rPr>
            </w:pPr>
          </w:p>
        </w:tc>
        <w:tc>
          <w:tcPr>
            <w:tcW w:w="630" w:type="dxa"/>
            <w:vMerge/>
            <w:tcBorders>
              <w:top w:val="single" w:sz="4" w:space="0" w:color="auto"/>
              <w:left w:val="single" w:sz="4" w:space="0" w:color="auto"/>
              <w:bottom w:val="single" w:sz="4" w:space="0" w:color="auto"/>
              <w:right w:val="single" w:sz="4" w:space="0" w:color="auto"/>
            </w:tcBorders>
            <w:vAlign w:val="center"/>
            <w:hideMark/>
          </w:tcPr>
          <w:p w:rsidR="00FF01E9" w:rsidRPr="00FF01E9" w:rsidP="00FF01E9" w14:paraId="1FD9A0F1" w14:textId="77777777">
            <w:pPr>
              <w:widowControl/>
              <w:rPr>
                <w:rFonts w:ascii="Arial" w:hAnsi="Arial" w:cs="Arial"/>
                <w:b/>
                <w:bCs/>
                <w:snapToGrid/>
                <w:sz w:val="18"/>
                <w:szCs w:val="18"/>
              </w:rPr>
            </w:pPr>
          </w:p>
        </w:tc>
        <w:tc>
          <w:tcPr>
            <w:tcW w:w="810" w:type="dxa"/>
            <w:vMerge/>
            <w:tcBorders>
              <w:top w:val="nil"/>
              <w:left w:val="single" w:sz="4" w:space="0" w:color="auto"/>
              <w:bottom w:val="single" w:sz="4" w:space="0" w:color="auto"/>
              <w:right w:val="single" w:sz="4" w:space="0" w:color="auto"/>
            </w:tcBorders>
            <w:vAlign w:val="center"/>
            <w:hideMark/>
          </w:tcPr>
          <w:p w:rsidR="00FF01E9" w:rsidRPr="00FF01E9" w:rsidP="00FF01E9" w14:paraId="1FD9A0F2" w14:textId="77777777">
            <w:pPr>
              <w:widowControl/>
              <w:rPr>
                <w:rFonts w:ascii="Arial" w:hAnsi="Arial" w:cs="Arial"/>
                <w:b/>
                <w:bCs/>
                <w:snapToGrid/>
                <w:sz w:val="18"/>
                <w:szCs w:val="18"/>
              </w:rPr>
            </w:pPr>
          </w:p>
        </w:tc>
        <w:tc>
          <w:tcPr>
            <w:tcW w:w="810" w:type="dxa"/>
            <w:vMerge/>
            <w:tcBorders>
              <w:top w:val="nil"/>
              <w:left w:val="single" w:sz="4" w:space="0" w:color="auto"/>
              <w:bottom w:val="single" w:sz="4" w:space="0" w:color="auto"/>
              <w:right w:val="single" w:sz="4" w:space="0" w:color="auto"/>
            </w:tcBorders>
            <w:vAlign w:val="center"/>
            <w:hideMark/>
          </w:tcPr>
          <w:p w:rsidR="00FF01E9" w:rsidRPr="00FF01E9" w:rsidP="00FF01E9" w14:paraId="1FD9A0F3" w14:textId="77777777">
            <w:pPr>
              <w:widowControl/>
              <w:rPr>
                <w:rFonts w:ascii="Arial" w:hAnsi="Arial" w:cs="Arial"/>
                <w:b/>
                <w:bCs/>
                <w:snapToGrid/>
                <w:sz w:val="18"/>
                <w:szCs w:val="18"/>
              </w:rPr>
            </w:pPr>
          </w:p>
        </w:tc>
        <w:tc>
          <w:tcPr>
            <w:tcW w:w="720" w:type="dxa"/>
            <w:vMerge/>
            <w:tcBorders>
              <w:top w:val="nil"/>
              <w:left w:val="single" w:sz="4" w:space="0" w:color="auto"/>
              <w:bottom w:val="single" w:sz="4" w:space="0" w:color="auto"/>
              <w:right w:val="single" w:sz="4" w:space="0" w:color="auto"/>
            </w:tcBorders>
            <w:vAlign w:val="center"/>
            <w:hideMark/>
          </w:tcPr>
          <w:p w:rsidR="00FF01E9" w:rsidRPr="00FF01E9" w:rsidP="00FF01E9" w14:paraId="1FD9A0F4" w14:textId="77777777">
            <w:pPr>
              <w:widowControl/>
              <w:rPr>
                <w:rFonts w:ascii="Arial" w:hAnsi="Arial" w:cs="Arial"/>
                <w:b/>
                <w:bCs/>
                <w:snapToGrid/>
                <w:sz w:val="18"/>
                <w:szCs w:val="18"/>
              </w:rPr>
            </w:pPr>
          </w:p>
        </w:tc>
        <w:tc>
          <w:tcPr>
            <w:tcW w:w="900" w:type="dxa"/>
            <w:vMerge/>
            <w:tcBorders>
              <w:top w:val="nil"/>
              <w:left w:val="single" w:sz="4" w:space="0" w:color="auto"/>
              <w:bottom w:val="single" w:sz="4" w:space="0" w:color="auto"/>
              <w:right w:val="single" w:sz="4" w:space="0" w:color="auto"/>
            </w:tcBorders>
            <w:vAlign w:val="center"/>
            <w:hideMark/>
          </w:tcPr>
          <w:p w:rsidR="00FF01E9" w:rsidRPr="00FF01E9" w:rsidP="00FF01E9" w14:paraId="1FD9A0F5" w14:textId="77777777">
            <w:pPr>
              <w:widowControl/>
              <w:rPr>
                <w:rFonts w:ascii="Arial" w:hAnsi="Arial" w:cs="Arial"/>
                <w:b/>
                <w:bCs/>
                <w:snapToGrid/>
                <w:sz w:val="18"/>
                <w:szCs w:val="18"/>
              </w:rPr>
            </w:pPr>
          </w:p>
        </w:tc>
        <w:tc>
          <w:tcPr>
            <w:tcW w:w="990" w:type="dxa"/>
            <w:vMerge/>
            <w:tcBorders>
              <w:top w:val="nil"/>
              <w:left w:val="single" w:sz="4" w:space="0" w:color="auto"/>
              <w:bottom w:val="single" w:sz="4" w:space="0" w:color="auto"/>
              <w:right w:val="single" w:sz="4" w:space="0" w:color="auto"/>
            </w:tcBorders>
            <w:vAlign w:val="center"/>
            <w:hideMark/>
          </w:tcPr>
          <w:p w:rsidR="00FF01E9" w:rsidRPr="00FF01E9" w:rsidP="00FF01E9" w14:paraId="1FD9A0F6" w14:textId="77777777">
            <w:pPr>
              <w:widowControl/>
              <w:rPr>
                <w:rFonts w:ascii="Arial" w:hAnsi="Arial" w:cs="Arial"/>
                <w:b/>
                <w:bCs/>
                <w:snapToGrid/>
                <w:sz w:val="18"/>
                <w:szCs w:val="18"/>
              </w:rPr>
            </w:pPr>
          </w:p>
        </w:tc>
        <w:tc>
          <w:tcPr>
            <w:tcW w:w="810" w:type="dxa"/>
            <w:vMerge/>
            <w:tcBorders>
              <w:top w:val="nil"/>
              <w:left w:val="single" w:sz="4" w:space="0" w:color="auto"/>
              <w:bottom w:val="single" w:sz="4" w:space="0" w:color="auto"/>
              <w:right w:val="single" w:sz="4" w:space="0" w:color="auto"/>
            </w:tcBorders>
            <w:vAlign w:val="center"/>
            <w:hideMark/>
          </w:tcPr>
          <w:p w:rsidR="00FF01E9" w:rsidRPr="00FF01E9" w:rsidP="00FF01E9" w14:paraId="1FD9A0F7" w14:textId="77777777">
            <w:pPr>
              <w:widowControl/>
              <w:rPr>
                <w:rFonts w:ascii="Arial" w:hAnsi="Arial" w:cs="Arial"/>
                <w:b/>
                <w:bCs/>
                <w:snapToGrid/>
                <w:sz w:val="18"/>
                <w:szCs w:val="18"/>
              </w:rPr>
            </w:pPr>
          </w:p>
        </w:tc>
        <w:tc>
          <w:tcPr>
            <w:tcW w:w="720" w:type="dxa"/>
            <w:vMerge/>
            <w:tcBorders>
              <w:top w:val="nil"/>
              <w:left w:val="single" w:sz="4" w:space="0" w:color="auto"/>
              <w:bottom w:val="single" w:sz="4" w:space="0" w:color="auto"/>
              <w:right w:val="single" w:sz="4" w:space="0" w:color="auto"/>
            </w:tcBorders>
            <w:vAlign w:val="center"/>
            <w:hideMark/>
          </w:tcPr>
          <w:p w:rsidR="00FF01E9" w:rsidRPr="00FF01E9" w:rsidP="00FF01E9" w14:paraId="1FD9A0F8" w14:textId="77777777">
            <w:pPr>
              <w:widowControl/>
              <w:rPr>
                <w:rFonts w:ascii="Arial" w:hAnsi="Arial" w:cs="Arial"/>
                <w:b/>
                <w:bCs/>
                <w:snapToGrid/>
                <w:sz w:val="18"/>
                <w:szCs w:val="18"/>
              </w:rPr>
            </w:pPr>
          </w:p>
        </w:tc>
        <w:tc>
          <w:tcPr>
            <w:tcW w:w="900" w:type="dxa"/>
            <w:vMerge/>
            <w:tcBorders>
              <w:top w:val="nil"/>
              <w:left w:val="single" w:sz="4" w:space="0" w:color="auto"/>
              <w:bottom w:val="single" w:sz="4" w:space="0" w:color="auto"/>
              <w:right w:val="single" w:sz="4" w:space="0" w:color="auto"/>
            </w:tcBorders>
            <w:vAlign w:val="center"/>
            <w:hideMark/>
          </w:tcPr>
          <w:p w:rsidR="00FF01E9" w:rsidRPr="00FF01E9" w:rsidP="00FF01E9" w14:paraId="1FD9A0F9" w14:textId="77777777">
            <w:pPr>
              <w:widowControl/>
              <w:rPr>
                <w:rFonts w:ascii="Arial" w:hAnsi="Arial" w:cs="Arial"/>
                <w:b/>
                <w:bCs/>
                <w:snapToGrid/>
                <w:sz w:val="18"/>
                <w:szCs w:val="18"/>
              </w:rPr>
            </w:pPr>
          </w:p>
        </w:tc>
        <w:tc>
          <w:tcPr>
            <w:tcW w:w="1530" w:type="dxa"/>
            <w:vMerge/>
            <w:tcBorders>
              <w:top w:val="single" w:sz="4" w:space="0" w:color="auto"/>
              <w:left w:val="single" w:sz="4" w:space="0" w:color="auto"/>
              <w:bottom w:val="single" w:sz="4" w:space="0" w:color="auto"/>
              <w:right w:val="single" w:sz="4" w:space="0" w:color="auto"/>
            </w:tcBorders>
            <w:vAlign w:val="center"/>
            <w:hideMark/>
          </w:tcPr>
          <w:p w:rsidR="00FF01E9" w:rsidRPr="00FF01E9" w:rsidP="00FF01E9" w14:paraId="1FD9A0FA" w14:textId="77777777">
            <w:pPr>
              <w:widowControl/>
              <w:rPr>
                <w:rFonts w:ascii="Arial" w:hAnsi="Arial" w:cs="Arial"/>
                <w:b/>
                <w:bCs/>
                <w:snapToGrid/>
                <w:sz w:val="18"/>
                <w:szCs w:val="18"/>
              </w:rPr>
            </w:pPr>
          </w:p>
        </w:tc>
        <w:tc>
          <w:tcPr>
            <w:tcW w:w="1680" w:type="dxa"/>
            <w:tcBorders>
              <w:top w:val="nil"/>
              <w:left w:val="nil"/>
              <w:bottom w:val="nil"/>
              <w:right w:val="nil"/>
            </w:tcBorders>
            <w:shd w:val="clear" w:color="auto" w:fill="auto"/>
            <w:noWrap/>
            <w:vAlign w:val="bottom"/>
            <w:hideMark/>
          </w:tcPr>
          <w:p w:rsidR="00FF01E9" w:rsidRPr="00FF01E9" w:rsidP="00FF01E9" w14:paraId="1FD9A0FB" w14:textId="77777777">
            <w:pPr>
              <w:widowControl/>
              <w:jc w:val="center"/>
              <w:rPr>
                <w:rFonts w:ascii="Arial" w:hAnsi="Arial" w:cs="Arial"/>
                <w:b/>
                <w:bCs/>
                <w:snapToGrid/>
                <w:sz w:val="18"/>
                <w:szCs w:val="18"/>
              </w:rPr>
            </w:pPr>
          </w:p>
        </w:tc>
      </w:tr>
      <w:tr w14:paraId="1FD9A10A" w14:textId="77777777" w:rsidTr="005C5D7B">
        <w:tblPrEx>
          <w:tblW w:w="14275" w:type="dxa"/>
          <w:tblInd w:w="113" w:type="dxa"/>
          <w:tblLayout w:type="fixed"/>
          <w:tblLook w:val="04A0"/>
        </w:tblPrEx>
        <w:trPr>
          <w:trHeight w:val="729"/>
        </w:trPr>
        <w:tc>
          <w:tcPr>
            <w:tcW w:w="2875" w:type="dxa"/>
            <w:tcBorders>
              <w:top w:val="nil"/>
              <w:left w:val="single" w:sz="4" w:space="0" w:color="auto"/>
              <w:bottom w:val="single" w:sz="4" w:space="0" w:color="auto"/>
              <w:right w:val="single" w:sz="4" w:space="0" w:color="auto"/>
            </w:tcBorders>
            <w:shd w:val="clear" w:color="auto" w:fill="auto"/>
            <w:vAlign w:val="bottom"/>
            <w:hideMark/>
          </w:tcPr>
          <w:p w:rsidR="00FF01E9" w:rsidRPr="00FF01E9" w:rsidP="00FF01E9" w14:paraId="1FD9A0FD" w14:textId="77777777">
            <w:pPr>
              <w:widowControl/>
              <w:rPr>
                <w:rFonts w:ascii="Arial" w:hAnsi="Arial" w:cs="Arial"/>
                <w:b/>
                <w:bCs/>
                <w:snapToGrid/>
                <w:sz w:val="18"/>
                <w:szCs w:val="18"/>
              </w:rPr>
            </w:pPr>
            <w:r w:rsidRPr="00FF01E9">
              <w:rPr>
                <w:rFonts w:ascii="Arial" w:hAnsi="Arial" w:cs="Arial"/>
                <w:b/>
                <w:bCs/>
                <w:snapToGrid/>
                <w:sz w:val="18"/>
                <w:szCs w:val="18"/>
              </w:rPr>
              <w:t>CPS-FSS Total Sample (Respondents and Nonrespondents)</w:t>
            </w:r>
          </w:p>
        </w:tc>
        <w:tc>
          <w:tcPr>
            <w:tcW w:w="900" w:type="dxa"/>
            <w:tcBorders>
              <w:top w:val="nil"/>
              <w:left w:val="nil"/>
              <w:bottom w:val="single" w:sz="4" w:space="0" w:color="auto"/>
              <w:right w:val="single" w:sz="4" w:space="0" w:color="auto"/>
            </w:tcBorders>
            <w:shd w:val="clear" w:color="auto" w:fill="auto"/>
            <w:noWrap/>
            <w:vAlign w:val="bottom"/>
            <w:hideMark/>
          </w:tcPr>
          <w:p w:rsidR="00FF01E9" w:rsidRPr="0068780B" w:rsidP="00FF01E9" w14:paraId="1FD9A0FE" w14:textId="77777777">
            <w:pPr>
              <w:widowControl/>
              <w:jc w:val="center"/>
              <w:rPr>
                <w:rFonts w:ascii="Arial" w:hAnsi="Arial" w:cs="Arial"/>
                <w:snapToGrid/>
                <w:color w:val="000000"/>
                <w:sz w:val="18"/>
                <w:szCs w:val="18"/>
              </w:rPr>
            </w:pPr>
            <w:r w:rsidRPr="00FF01E9">
              <w:rPr>
                <w:rFonts w:ascii="Calibri" w:hAnsi="Calibri" w:cs="Calibri"/>
                <w:snapToGrid/>
                <w:color w:val="000000"/>
                <w:sz w:val="22"/>
                <w:szCs w:val="22"/>
              </w:rPr>
              <w:t xml:space="preserve">            </w:t>
            </w:r>
            <w:r w:rsidRPr="0068780B">
              <w:rPr>
                <w:rFonts w:ascii="Arial" w:hAnsi="Arial" w:cs="Arial"/>
                <w:snapToGrid/>
                <w:color w:val="000000"/>
                <w:sz w:val="18"/>
                <w:szCs w:val="18"/>
              </w:rPr>
              <w:t>5</w:t>
            </w:r>
            <w:r w:rsidRPr="0068780B" w:rsidR="0032665D">
              <w:rPr>
                <w:rFonts w:ascii="Arial" w:hAnsi="Arial" w:cs="Arial"/>
                <w:snapToGrid/>
                <w:color w:val="000000"/>
                <w:sz w:val="18"/>
                <w:szCs w:val="18"/>
              </w:rPr>
              <w:t>1,937</w:t>
            </w:r>
            <w:r w:rsidRPr="0068780B">
              <w:rPr>
                <w:rFonts w:ascii="Arial" w:hAnsi="Arial" w:cs="Arial"/>
                <w:snapToGrid/>
                <w:color w:val="000000"/>
                <w:sz w:val="18"/>
                <w:szCs w:val="18"/>
              </w:rPr>
              <w:t xml:space="preserve"> </w:t>
            </w:r>
          </w:p>
        </w:tc>
        <w:tc>
          <w:tcPr>
            <w:tcW w:w="630" w:type="dxa"/>
            <w:tcBorders>
              <w:top w:val="nil"/>
              <w:left w:val="nil"/>
              <w:bottom w:val="single" w:sz="4" w:space="0" w:color="auto"/>
              <w:right w:val="single" w:sz="4" w:space="0" w:color="auto"/>
            </w:tcBorders>
            <w:shd w:val="clear" w:color="auto" w:fill="auto"/>
            <w:vAlign w:val="bottom"/>
            <w:hideMark/>
          </w:tcPr>
          <w:p w:rsidR="00FF01E9" w:rsidRPr="00FF01E9" w:rsidP="00FF01E9" w14:paraId="1FD9A0FF" w14:textId="77777777">
            <w:pPr>
              <w:widowControl/>
              <w:jc w:val="center"/>
              <w:rPr>
                <w:rFonts w:ascii="Arial" w:hAnsi="Arial" w:cs="Arial"/>
                <w:snapToGrid/>
                <w:sz w:val="18"/>
                <w:szCs w:val="18"/>
              </w:rPr>
            </w:pPr>
            <w:r w:rsidRPr="00FF01E9">
              <w:rPr>
                <w:rFonts w:ascii="Arial" w:hAnsi="Arial" w:cs="Arial"/>
                <w:snapToGrid/>
                <w:sz w:val="18"/>
                <w:szCs w:val="18"/>
              </w:rPr>
              <w:t xml:space="preserve">          1 </w:t>
            </w:r>
          </w:p>
        </w:tc>
        <w:tc>
          <w:tcPr>
            <w:tcW w:w="810" w:type="dxa"/>
            <w:tcBorders>
              <w:top w:val="nil"/>
              <w:left w:val="nil"/>
              <w:bottom w:val="single" w:sz="4" w:space="0" w:color="auto"/>
              <w:right w:val="single" w:sz="4" w:space="0" w:color="auto"/>
            </w:tcBorders>
            <w:shd w:val="clear" w:color="auto" w:fill="auto"/>
            <w:vAlign w:val="bottom"/>
            <w:hideMark/>
          </w:tcPr>
          <w:p w:rsidR="00FF01E9" w:rsidRPr="00FF01E9" w:rsidP="00FF01E9" w14:paraId="1FD9A100" w14:textId="77777777">
            <w:pPr>
              <w:widowControl/>
              <w:jc w:val="center"/>
              <w:rPr>
                <w:rFonts w:ascii="Arial" w:hAnsi="Arial" w:cs="Arial"/>
                <w:snapToGrid/>
                <w:sz w:val="18"/>
                <w:szCs w:val="18"/>
              </w:rPr>
            </w:pPr>
            <w:r w:rsidRPr="00FF01E9">
              <w:rPr>
                <w:rFonts w:ascii="Arial" w:hAnsi="Arial" w:cs="Arial"/>
                <w:snapToGrid/>
                <w:sz w:val="18"/>
                <w:szCs w:val="18"/>
              </w:rPr>
              <w:t xml:space="preserve">       4</w:t>
            </w:r>
            <w:r w:rsidR="0032665D">
              <w:rPr>
                <w:rFonts w:ascii="Arial" w:hAnsi="Arial" w:cs="Arial"/>
                <w:snapToGrid/>
                <w:sz w:val="18"/>
                <w:szCs w:val="18"/>
              </w:rPr>
              <w:t>1,550</w:t>
            </w:r>
            <w:r w:rsidRPr="00FF01E9">
              <w:rPr>
                <w:rFonts w:ascii="Arial" w:hAnsi="Arial" w:cs="Arial"/>
                <w:snapToGrid/>
                <w:sz w:val="18"/>
                <w:szCs w:val="18"/>
              </w:rPr>
              <w:t xml:space="preserve"> </w:t>
            </w:r>
          </w:p>
        </w:tc>
        <w:tc>
          <w:tcPr>
            <w:tcW w:w="810" w:type="dxa"/>
            <w:tcBorders>
              <w:top w:val="nil"/>
              <w:left w:val="nil"/>
              <w:bottom w:val="single" w:sz="4" w:space="0" w:color="auto"/>
              <w:right w:val="single" w:sz="4" w:space="0" w:color="auto"/>
            </w:tcBorders>
            <w:shd w:val="clear" w:color="auto" w:fill="auto"/>
            <w:vAlign w:val="bottom"/>
            <w:hideMark/>
          </w:tcPr>
          <w:p w:rsidR="00FF01E9" w:rsidRPr="00FF01E9" w:rsidP="00FF01E9" w14:paraId="1FD9A101" w14:textId="77777777">
            <w:pPr>
              <w:widowControl/>
              <w:jc w:val="center"/>
              <w:rPr>
                <w:rFonts w:ascii="Arial" w:hAnsi="Arial" w:cs="Arial"/>
                <w:snapToGrid/>
                <w:sz w:val="18"/>
                <w:szCs w:val="18"/>
              </w:rPr>
            </w:pPr>
            <w:r w:rsidRPr="00FF01E9">
              <w:rPr>
                <w:rFonts w:ascii="Arial" w:hAnsi="Arial" w:cs="Arial"/>
                <w:snapToGrid/>
                <w:sz w:val="18"/>
                <w:szCs w:val="18"/>
              </w:rPr>
              <w:t xml:space="preserve">       4</w:t>
            </w:r>
            <w:r w:rsidR="0032665D">
              <w:rPr>
                <w:rFonts w:ascii="Arial" w:hAnsi="Arial" w:cs="Arial"/>
                <w:snapToGrid/>
                <w:sz w:val="18"/>
                <w:szCs w:val="18"/>
              </w:rPr>
              <w:t>1,550</w:t>
            </w:r>
            <w:r w:rsidRPr="00FF01E9">
              <w:rPr>
                <w:rFonts w:ascii="Arial" w:hAnsi="Arial" w:cs="Arial"/>
                <w:snapToGrid/>
                <w:sz w:val="18"/>
                <w:szCs w:val="18"/>
              </w:rPr>
              <w:t xml:space="preserve"> </w:t>
            </w:r>
          </w:p>
        </w:tc>
        <w:tc>
          <w:tcPr>
            <w:tcW w:w="720" w:type="dxa"/>
            <w:tcBorders>
              <w:top w:val="nil"/>
              <w:left w:val="nil"/>
              <w:bottom w:val="single" w:sz="4" w:space="0" w:color="auto"/>
              <w:right w:val="single" w:sz="4" w:space="0" w:color="auto"/>
            </w:tcBorders>
            <w:shd w:val="clear" w:color="auto" w:fill="auto"/>
            <w:vAlign w:val="bottom"/>
            <w:hideMark/>
          </w:tcPr>
          <w:p w:rsidR="00FF01E9" w:rsidRPr="00FF01E9" w:rsidP="00FF01E9" w14:paraId="1FD9A102" w14:textId="77777777">
            <w:pPr>
              <w:widowControl/>
              <w:rPr>
                <w:rFonts w:ascii="Arial" w:hAnsi="Arial" w:cs="Arial"/>
                <w:snapToGrid/>
                <w:sz w:val="18"/>
                <w:szCs w:val="18"/>
              </w:rPr>
            </w:pPr>
            <w:r w:rsidRPr="00FF01E9">
              <w:rPr>
                <w:rFonts w:ascii="Arial" w:hAnsi="Arial" w:cs="Arial"/>
                <w:snapToGrid/>
                <w:sz w:val="18"/>
                <w:szCs w:val="18"/>
              </w:rPr>
              <w:t xml:space="preserve">             </w:t>
            </w:r>
            <w:r w:rsidR="0032665D">
              <w:rPr>
                <w:rFonts w:ascii="Arial" w:hAnsi="Arial" w:cs="Arial"/>
                <w:snapToGrid/>
                <w:sz w:val="18"/>
                <w:szCs w:val="18"/>
              </w:rPr>
              <w:t>9.</w:t>
            </w:r>
            <w:r w:rsidR="00B01BCA">
              <w:rPr>
                <w:rFonts w:ascii="Arial" w:hAnsi="Arial" w:cs="Arial"/>
                <w:snapToGrid/>
                <w:sz w:val="18"/>
                <w:szCs w:val="18"/>
              </w:rPr>
              <w:t>2</w:t>
            </w:r>
            <w:r w:rsidRPr="00FF01E9">
              <w:rPr>
                <w:rFonts w:ascii="Arial" w:hAnsi="Arial" w:cs="Arial"/>
                <w:snapToGrid/>
                <w:sz w:val="18"/>
                <w:szCs w:val="18"/>
              </w:rPr>
              <w:t xml:space="preserve"> </w:t>
            </w:r>
          </w:p>
        </w:tc>
        <w:tc>
          <w:tcPr>
            <w:tcW w:w="900" w:type="dxa"/>
            <w:tcBorders>
              <w:top w:val="nil"/>
              <w:left w:val="nil"/>
              <w:bottom w:val="single" w:sz="4" w:space="0" w:color="auto"/>
              <w:right w:val="single" w:sz="4" w:space="0" w:color="auto"/>
            </w:tcBorders>
            <w:shd w:val="clear" w:color="auto" w:fill="auto"/>
            <w:vAlign w:val="bottom"/>
            <w:hideMark/>
          </w:tcPr>
          <w:p w:rsidR="00FF01E9" w:rsidRPr="00FF01E9" w:rsidP="0068780B" w14:paraId="1FD9A103" w14:textId="77777777">
            <w:pPr>
              <w:widowControl/>
              <w:jc w:val="right"/>
              <w:rPr>
                <w:rFonts w:ascii="Arial" w:hAnsi="Arial" w:cs="Arial"/>
                <w:snapToGrid/>
                <w:sz w:val="18"/>
                <w:szCs w:val="18"/>
              </w:rPr>
            </w:pPr>
            <w:r w:rsidRPr="00FF01E9">
              <w:rPr>
                <w:rFonts w:ascii="Arial" w:hAnsi="Arial" w:cs="Arial"/>
                <w:snapToGrid/>
                <w:sz w:val="18"/>
                <w:szCs w:val="18"/>
              </w:rPr>
              <w:t xml:space="preserve">         6</w:t>
            </w:r>
            <w:r w:rsidR="0032665D">
              <w:rPr>
                <w:rFonts w:ascii="Arial" w:hAnsi="Arial" w:cs="Arial"/>
                <w:snapToGrid/>
                <w:sz w:val="18"/>
                <w:szCs w:val="18"/>
              </w:rPr>
              <w:t>,</w:t>
            </w:r>
            <w:r w:rsidR="00B01BCA">
              <w:rPr>
                <w:rFonts w:ascii="Arial" w:hAnsi="Arial" w:cs="Arial"/>
                <w:snapToGrid/>
                <w:sz w:val="18"/>
                <w:szCs w:val="18"/>
              </w:rPr>
              <w:t>387</w:t>
            </w:r>
            <w:r w:rsidRPr="00FF01E9">
              <w:rPr>
                <w:rFonts w:ascii="Arial" w:hAnsi="Arial" w:cs="Arial"/>
                <w:snapToGrid/>
                <w:sz w:val="18"/>
                <w:szCs w:val="18"/>
              </w:rPr>
              <w:t xml:space="preserve"> </w:t>
            </w:r>
          </w:p>
        </w:tc>
        <w:tc>
          <w:tcPr>
            <w:tcW w:w="990" w:type="dxa"/>
            <w:tcBorders>
              <w:top w:val="nil"/>
              <w:left w:val="nil"/>
              <w:bottom w:val="single" w:sz="4" w:space="0" w:color="auto"/>
              <w:right w:val="single" w:sz="4" w:space="0" w:color="auto"/>
            </w:tcBorders>
            <w:shd w:val="clear" w:color="auto" w:fill="auto"/>
            <w:vAlign w:val="bottom"/>
            <w:hideMark/>
          </w:tcPr>
          <w:p w:rsidR="00FF01E9" w:rsidRPr="00FF01E9" w:rsidP="00FF01E9" w14:paraId="1FD9A104" w14:textId="77777777">
            <w:pPr>
              <w:widowControl/>
              <w:jc w:val="center"/>
              <w:rPr>
                <w:rFonts w:ascii="Arial" w:hAnsi="Arial" w:cs="Arial"/>
                <w:snapToGrid/>
                <w:sz w:val="18"/>
                <w:szCs w:val="18"/>
              </w:rPr>
            </w:pPr>
            <w:r w:rsidRPr="00FF01E9">
              <w:rPr>
                <w:rFonts w:ascii="Arial" w:hAnsi="Arial" w:cs="Arial"/>
                <w:snapToGrid/>
                <w:sz w:val="18"/>
                <w:szCs w:val="18"/>
              </w:rPr>
              <w:t xml:space="preserve">       10,</w:t>
            </w:r>
            <w:r w:rsidR="0032665D">
              <w:rPr>
                <w:rFonts w:ascii="Arial" w:hAnsi="Arial" w:cs="Arial"/>
                <w:snapToGrid/>
                <w:sz w:val="18"/>
                <w:szCs w:val="18"/>
              </w:rPr>
              <w:t>387</w:t>
            </w:r>
            <w:r w:rsidRPr="00FF01E9">
              <w:rPr>
                <w:rFonts w:ascii="Arial" w:hAnsi="Arial" w:cs="Arial"/>
                <w:snapToGrid/>
                <w:sz w:val="18"/>
                <w:szCs w:val="18"/>
              </w:rPr>
              <w:t xml:space="preserve"> </w:t>
            </w:r>
          </w:p>
        </w:tc>
        <w:tc>
          <w:tcPr>
            <w:tcW w:w="810" w:type="dxa"/>
            <w:tcBorders>
              <w:top w:val="nil"/>
              <w:left w:val="nil"/>
              <w:bottom w:val="single" w:sz="4" w:space="0" w:color="auto"/>
              <w:right w:val="single" w:sz="4" w:space="0" w:color="auto"/>
            </w:tcBorders>
            <w:shd w:val="clear" w:color="auto" w:fill="auto"/>
            <w:vAlign w:val="bottom"/>
            <w:hideMark/>
          </w:tcPr>
          <w:p w:rsidR="00FF01E9" w:rsidRPr="00FF01E9" w:rsidP="00FF01E9" w14:paraId="1FD9A105" w14:textId="77777777">
            <w:pPr>
              <w:widowControl/>
              <w:jc w:val="center"/>
              <w:rPr>
                <w:rFonts w:ascii="Arial" w:hAnsi="Arial" w:cs="Arial"/>
                <w:snapToGrid/>
                <w:sz w:val="18"/>
                <w:szCs w:val="18"/>
              </w:rPr>
            </w:pPr>
            <w:r w:rsidRPr="00FF01E9">
              <w:rPr>
                <w:rFonts w:ascii="Arial" w:hAnsi="Arial" w:cs="Arial"/>
                <w:snapToGrid/>
                <w:sz w:val="18"/>
                <w:szCs w:val="18"/>
              </w:rPr>
              <w:t xml:space="preserve">       10,</w:t>
            </w:r>
            <w:r w:rsidR="0032665D">
              <w:rPr>
                <w:rFonts w:ascii="Arial" w:hAnsi="Arial" w:cs="Arial"/>
                <w:snapToGrid/>
                <w:sz w:val="18"/>
                <w:szCs w:val="18"/>
              </w:rPr>
              <w:t>387</w:t>
            </w:r>
            <w:r w:rsidRPr="00FF01E9">
              <w:rPr>
                <w:rFonts w:ascii="Arial" w:hAnsi="Arial" w:cs="Arial"/>
                <w:snapToGrid/>
                <w:sz w:val="18"/>
                <w:szCs w:val="18"/>
              </w:rPr>
              <w:t xml:space="preserve"> </w:t>
            </w:r>
          </w:p>
        </w:tc>
        <w:tc>
          <w:tcPr>
            <w:tcW w:w="720" w:type="dxa"/>
            <w:tcBorders>
              <w:top w:val="nil"/>
              <w:left w:val="nil"/>
              <w:bottom w:val="single" w:sz="4" w:space="0" w:color="auto"/>
              <w:right w:val="single" w:sz="4" w:space="0" w:color="auto"/>
            </w:tcBorders>
            <w:shd w:val="clear" w:color="auto" w:fill="auto"/>
            <w:vAlign w:val="bottom"/>
            <w:hideMark/>
          </w:tcPr>
          <w:p w:rsidR="00FF01E9" w:rsidRPr="00FF01E9" w:rsidP="00FF01E9" w14:paraId="1FD9A106" w14:textId="77777777">
            <w:pPr>
              <w:widowControl/>
              <w:jc w:val="center"/>
              <w:rPr>
                <w:rFonts w:ascii="Arial" w:hAnsi="Arial" w:cs="Arial"/>
                <w:snapToGrid/>
                <w:sz w:val="18"/>
                <w:szCs w:val="18"/>
              </w:rPr>
            </w:pPr>
            <w:r w:rsidRPr="00FF01E9">
              <w:rPr>
                <w:rFonts w:ascii="Arial" w:hAnsi="Arial" w:cs="Arial"/>
                <w:snapToGrid/>
                <w:sz w:val="18"/>
                <w:szCs w:val="18"/>
              </w:rPr>
              <w:t xml:space="preserve">                1 </w:t>
            </w:r>
          </w:p>
        </w:tc>
        <w:tc>
          <w:tcPr>
            <w:tcW w:w="900" w:type="dxa"/>
            <w:tcBorders>
              <w:top w:val="nil"/>
              <w:left w:val="nil"/>
              <w:bottom w:val="single" w:sz="4" w:space="0" w:color="auto"/>
              <w:right w:val="single" w:sz="4" w:space="0" w:color="auto"/>
            </w:tcBorders>
            <w:shd w:val="clear" w:color="auto" w:fill="auto"/>
            <w:vAlign w:val="bottom"/>
            <w:hideMark/>
          </w:tcPr>
          <w:p w:rsidR="00FF01E9" w:rsidRPr="00FF01E9" w:rsidP="00FF01E9" w14:paraId="1FD9A107" w14:textId="77777777">
            <w:pPr>
              <w:widowControl/>
              <w:jc w:val="center"/>
              <w:rPr>
                <w:rFonts w:ascii="Arial" w:hAnsi="Arial" w:cs="Arial"/>
                <w:snapToGrid/>
                <w:sz w:val="18"/>
                <w:szCs w:val="18"/>
              </w:rPr>
            </w:pPr>
            <w:r w:rsidRPr="00FF01E9">
              <w:rPr>
                <w:rFonts w:ascii="Arial" w:hAnsi="Arial" w:cs="Arial"/>
                <w:snapToGrid/>
                <w:sz w:val="18"/>
                <w:szCs w:val="18"/>
              </w:rPr>
              <w:t xml:space="preserve">            1</w:t>
            </w:r>
            <w:r w:rsidR="0032665D">
              <w:rPr>
                <w:rFonts w:ascii="Arial" w:hAnsi="Arial" w:cs="Arial"/>
                <w:snapToGrid/>
                <w:sz w:val="18"/>
                <w:szCs w:val="18"/>
              </w:rPr>
              <w:t>73</w:t>
            </w:r>
            <w:r w:rsidRPr="00FF01E9">
              <w:rPr>
                <w:rFonts w:ascii="Arial" w:hAnsi="Arial" w:cs="Arial"/>
                <w:snapToGrid/>
                <w:sz w:val="18"/>
                <w:szCs w:val="18"/>
              </w:rPr>
              <w:t xml:space="preserve"> </w:t>
            </w:r>
          </w:p>
        </w:tc>
        <w:tc>
          <w:tcPr>
            <w:tcW w:w="1530" w:type="dxa"/>
            <w:tcBorders>
              <w:top w:val="nil"/>
              <w:left w:val="nil"/>
              <w:bottom w:val="single" w:sz="4" w:space="0" w:color="auto"/>
              <w:right w:val="single" w:sz="4" w:space="0" w:color="auto"/>
            </w:tcBorders>
            <w:shd w:val="clear" w:color="auto" w:fill="auto"/>
            <w:vAlign w:val="bottom"/>
            <w:hideMark/>
          </w:tcPr>
          <w:p w:rsidR="00FF01E9" w:rsidRPr="00FF01E9" w:rsidP="00FF01E9" w14:paraId="1FD9A108" w14:textId="77777777">
            <w:pPr>
              <w:widowControl/>
              <w:jc w:val="center"/>
              <w:rPr>
                <w:rFonts w:ascii="Arial" w:hAnsi="Arial" w:cs="Arial"/>
                <w:b/>
                <w:bCs/>
                <w:snapToGrid/>
                <w:sz w:val="18"/>
                <w:szCs w:val="18"/>
              </w:rPr>
            </w:pPr>
            <w:r w:rsidRPr="00FF01E9">
              <w:rPr>
                <w:rFonts w:ascii="Arial" w:hAnsi="Arial" w:cs="Arial"/>
                <w:b/>
                <w:bCs/>
                <w:snapToGrid/>
                <w:sz w:val="18"/>
                <w:szCs w:val="18"/>
              </w:rPr>
              <w:t xml:space="preserve"> 6,</w:t>
            </w:r>
            <w:r w:rsidR="00B01BCA">
              <w:rPr>
                <w:rFonts w:ascii="Arial" w:hAnsi="Arial" w:cs="Arial"/>
                <w:b/>
                <w:bCs/>
                <w:snapToGrid/>
                <w:sz w:val="18"/>
                <w:szCs w:val="18"/>
              </w:rPr>
              <w:t>559</w:t>
            </w:r>
            <w:r w:rsidRPr="00FF01E9">
              <w:rPr>
                <w:rFonts w:ascii="Arial" w:hAnsi="Arial" w:cs="Arial"/>
                <w:b/>
                <w:bCs/>
                <w:snapToGrid/>
                <w:sz w:val="18"/>
                <w:szCs w:val="18"/>
              </w:rPr>
              <w:t xml:space="preserve"> hours (7.</w:t>
            </w:r>
            <w:r w:rsidR="00B01BCA">
              <w:rPr>
                <w:rFonts w:ascii="Arial" w:hAnsi="Arial" w:cs="Arial"/>
                <w:b/>
                <w:bCs/>
                <w:snapToGrid/>
                <w:sz w:val="18"/>
                <w:szCs w:val="18"/>
              </w:rPr>
              <w:t>4</w:t>
            </w:r>
            <w:r w:rsidRPr="00FF01E9">
              <w:rPr>
                <w:rFonts w:ascii="Arial" w:hAnsi="Arial" w:cs="Arial"/>
                <w:b/>
                <w:bCs/>
                <w:snapToGrid/>
                <w:sz w:val="18"/>
                <w:szCs w:val="18"/>
              </w:rPr>
              <w:t xml:space="preserve"> minutes per household) </w:t>
            </w:r>
          </w:p>
        </w:tc>
        <w:tc>
          <w:tcPr>
            <w:tcW w:w="1680" w:type="dxa"/>
            <w:vAlign w:val="center"/>
            <w:hideMark/>
          </w:tcPr>
          <w:p w:rsidR="00FF01E9" w:rsidRPr="00FF01E9" w:rsidP="00FF01E9" w14:paraId="1FD9A109" w14:textId="77777777">
            <w:pPr>
              <w:widowControl/>
              <w:rPr>
                <w:snapToGrid/>
                <w:sz w:val="20"/>
              </w:rPr>
            </w:pPr>
          </w:p>
        </w:tc>
      </w:tr>
      <w:tr w14:paraId="1FD9A10D" w14:textId="77777777" w:rsidTr="005C5D7B">
        <w:tblPrEx>
          <w:tblW w:w="14275" w:type="dxa"/>
          <w:tblInd w:w="113" w:type="dxa"/>
          <w:tblLayout w:type="fixed"/>
          <w:tblLook w:val="04A0"/>
        </w:tblPrEx>
        <w:trPr>
          <w:trHeight w:val="647"/>
        </w:trPr>
        <w:tc>
          <w:tcPr>
            <w:tcW w:w="12595" w:type="dxa"/>
            <w:gridSpan w:val="12"/>
            <w:tcBorders>
              <w:top w:val="single" w:sz="4" w:space="0" w:color="auto"/>
              <w:left w:val="single" w:sz="4" w:space="0" w:color="auto"/>
              <w:bottom w:val="single" w:sz="4" w:space="0" w:color="auto"/>
              <w:right w:val="single" w:sz="4" w:space="0" w:color="auto"/>
            </w:tcBorders>
            <w:shd w:val="clear" w:color="auto" w:fill="auto"/>
            <w:vAlign w:val="bottom"/>
            <w:hideMark/>
          </w:tcPr>
          <w:p w:rsidR="00FF01E9" w:rsidRPr="00FF01E9" w:rsidP="00FF01E9" w14:paraId="1FD9A10B" w14:textId="77777777">
            <w:pPr>
              <w:widowControl/>
              <w:rPr>
                <w:b/>
                <w:bCs/>
                <w:snapToGrid/>
                <w:color w:val="000000"/>
                <w:sz w:val="20"/>
              </w:rPr>
            </w:pPr>
            <w:r w:rsidRPr="00FF01E9">
              <w:rPr>
                <w:b/>
                <w:bCs/>
                <w:snapToGrid/>
                <w:color w:val="000000"/>
                <w:sz w:val="20"/>
              </w:rPr>
              <w:t>Detailed Burden Estimates by Screening Status of Respondents:</w:t>
            </w:r>
          </w:p>
        </w:tc>
        <w:tc>
          <w:tcPr>
            <w:tcW w:w="1680" w:type="dxa"/>
            <w:vAlign w:val="center"/>
            <w:hideMark/>
          </w:tcPr>
          <w:p w:rsidR="00FF01E9" w:rsidRPr="00FF01E9" w:rsidP="00FF01E9" w14:paraId="1FD9A10C" w14:textId="77777777">
            <w:pPr>
              <w:widowControl/>
              <w:rPr>
                <w:snapToGrid/>
                <w:sz w:val="20"/>
              </w:rPr>
            </w:pPr>
          </w:p>
        </w:tc>
      </w:tr>
      <w:tr w14:paraId="1FD9A11B" w14:textId="77777777" w:rsidTr="005C5D7B">
        <w:tblPrEx>
          <w:tblW w:w="14275" w:type="dxa"/>
          <w:tblInd w:w="113" w:type="dxa"/>
          <w:tblLayout w:type="fixed"/>
          <w:tblLook w:val="04A0"/>
        </w:tblPrEx>
        <w:trPr>
          <w:trHeight w:val="534"/>
        </w:trPr>
        <w:tc>
          <w:tcPr>
            <w:tcW w:w="2875" w:type="dxa"/>
            <w:tcBorders>
              <w:top w:val="nil"/>
              <w:left w:val="single" w:sz="4" w:space="0" w:color="auto"/>
              <w:bottom w:val="single" w:sz="4" w:space="0" w:color="auto"/>
              <w:right w:val="single" w:sz="4" w:space="0" w:color="auto"/>
            </w:tcBorders>
            <w:shd w:val="clear" w:color="auto" w:fill="auto"/>
            <w:vAlign w:val="center"/>
            <w:hideMark/>
          </w:tcPr>
          <w:p w:rsidR="00FF01E9" w:rsidRPr="00FF01E9" w:rsidP="00FF01E9" w14:paraId="1FD9A10E" w14:textId="77777777">
            <w:pPr>
              <w:widowControl/>
              <w:ind w:firstLine="200" w:firstLineChars="100"/>
              <w:rPr>
                <w:snapToGrid/>
                <w:color w:val="000000"/>
                <w:sz w:val="20"/>
              </w:rPr>
            </w:pPr>
            <w:r w:rsidRPr="00FF01E9">
              <w:rPr>
                <w:snapToGrid/>
                <w:color w:val="000000"/>
                <w:sz w:val="20"/>
              </w:rPr>
              <w:t>1. Higher-income households screened out after food spending questions (average 12 questions)</w:t>
            </w:r>
          </w:p>
        </w:tc>
        <w:tc>
          <w:tcPr>
            <w:tcW w:w="900" w:type="dxa"/>
            <w:tcBorders>
              <w:top w:val="nil"/>
              <w:left w:val="nil"/>
              <w:bottom w:val="single" w:sz="4" w:space="0" w:color="auto"/>
              <w:right w:val="single" w:sz="4" w:space="0" w:color="auto"/>
            </w:tcBorders>
            <w:shd w:val="clear" w:color="auto" w:fill="auto"/>
            <w:vAlign w:val="bottom"/>
            <w:hideMark/>
          </w:tcPr>
          <w:p w:rsidR="00FF01E9" w:rsidRPr="00FF01E9" w:rsidP="00FF01E9" w14:paraId="1FD9A10F" w14:textId="77777777">
            <w:pPr>
              <w:widowControl/>
              <w:jc w:val="right"/>
              <w:rPr>
                <w:rFonts w:ascii="Arial" w:hAnsi="Arial" w:cs="Arial"/>
                <w:snapToGrid/>
                <w:sz w:val="18"/>
                <w:szCs w:val="18"/>
              </w:rPr>
            </w:pPr>
            <w:r w:rsidRPr="00FF01E9">
              <w:rPr>
                <w:rFonts w:ascii="Arial" w:hAnsi="Arial" w:cs="Arial"/>
                <w:snapToGrid/>
                <w:sz w:val="18"/>
                <w:szCs w:val="18"/>
              </w:rPr>
              <w:t> </w:t>
            </w:r>
          </w:p>
        </w:tc>
        <w:tc>
          <w:tcPr>
            <w:tcW w:w="630" w:type="dxa"/>
            <w:tcBorders>
              <w:top w:val="nil"/>
              <w:left w:val="nil"/>
              <w:bottom w:val="single" w:sz="4" w:space="0" w:color="auto"/>
              <w:right w:val="single" w:sz="4" w:space="0" w:color="auto"/>
            </w:tcBorders>
            <w:shd w:val="clear" w:color="auto" w:fill="auto"/>
            <w:vAlign w:val="bottom"/>
            <w:hideMark/>
          </w:tcPr>
          <w:p w:rsidR="00FF01E9" w:rsidRPr="00FF01E9" w:rsidP="00FF01E9" w14:paraId="1FD9A110" w14:textId="77777777">
            <w:pPr>
              <w:widowControl/>
              <w:jc w:val="right"/>
              <w:rPr>
                <w:rFonts w:ascii="Arial" w:hAnsi="Arial" w:cs="Arial"/>
                <w:snapToGrid/>
                <w:sz w:val="18"/>
                <w:szCs w:val="18"/>
              </w:rPr>
            </w:pPr>
            <w:r w:rsidRPr="00FF01E9">
              <w:rPr>
                <w:rFonts w:ascii="Arial" w:hAnsi="Arial" w:cs="Arial"/>
                <w:snapToGrid/>
                <w:sz w:val="18"/>
                <w:szCs w:val="18"/>
              </w:rPr>
              <w:t> </w:t>
            </w:r>
          </w:p>
        </w:tc>
        <w:tc>
          <w:tcPr>
            <w:tcW w:w="810" w:type="dxa"/>
            <w:tcBorders>
              <w:top w:val="nil"/>
              <w:left w:val="nil"/>
              <w:bottom w:val="single" w:sz="4" w:space="0" w:color="auto"/>
              <w:right w:val="single" w:sz="4" w:space="0" w:color="auto"/>
            </w:tcBorders>
            <w:shd w:val="clear" w:color="auto" w:fill="auto"/>
            <w:vAlign w:val="bottom"/>
            <w:hideMark/>
          </w:tcPr>
          <w:p w:rsidR="00FF01E9" w:rsidRPr="00FF01E9" w:rsidP="00FF01E9" w14:paraId="1FD9A111" w14:textId="77777777">
            <w:pPr>
              <w:widowControl/>
              <w:jc w:val="right"/>
              <w:rPr>
                <w:rFonts w:ascii="Arial" w:hAnsi="Arial" w:cs="Arial"/>
                <w:snapToGrid/>
                <w:sz w:val="18"/>
                <w:szCs w:val="18"/>
              </w:rPr>
            </w:pPr>
            <w:r w:rsidRPr="00FF01E9">
              <w:rPr>
                <w:rFonts w:ascii="Arial" w:hAnsi="Arial" w:cs="Arial"/>
                <w:snapToGrid/>
                <w:sz w:val="18"/>
                <w:szCs w:val="18"/>
              </w:rPr>
              <w:t>2</w:t>
            </w:r>
            <w:r w:rsidR="00B01BCA">
              <w:rPr>
                <w:rFonts w:ascii="Arial" w:hAnsi="Arial" w:cs="Arial"/>
                <w:snapToGrid/>
                <w:sz w:val="18"/>
                <w:szCs w:val="18"/>
              </w:rPr>
              <w:t>3,887</w:t>
            </w:r>
          </w:p>
        </w:tc>
        <w:tc>
          <w:tcPr>
            <w:tcW w:w="810" w:type="dxa"/>
            <w:tcBorders>
              <w:top w:val="nil"/>
              <w:left w:val="nil"/>
              <w:bottom w:val="single" w:sz="4" w:space="0" w:color="auto"/>
              <w:right w:val="single" w:sz="4" w:space="0" w:color="auto"/>
            </w:tcBorders>
            <w:shd w:val="clear" w:color="auto" w:fill="auto"/>
            <w:vAlign w:val="bottom"/>
            <w:hideMark/>
          </w:tcPr>
          <w:p w:rsidR="00FF01E9" w:rsidRPr="00FF01E9" w:rsidP="00FF01E9" w14:paraId="1FD9A112" w14:textId="77777777">
            <w:pPr>
              <w:widowControl/>
              <w:jc w:val="right"/>
              <w:rPr>
                <w:rFonts w:ascii="Arial" w:hAnsi="Arial" w:cs="Arial"/>
                <w:snapToGrid/>
                <w:sz w:val="18"/>
                <w:szCs w:val="18"/>
              </w:rPr>
            </w:pPr>
            <w:r w:rsidRPr="00FF01E9">
              <w:rPr>
                <w:rFonts w:ascii="Arial" w:hAnsi="Arial" w:cs="Arial"/>
                <w:snapToGrid/>
                <w:sz w:val="18"/>
                <w:szCs w:val="18"/>
              </w:rPr>
              <w:t>2</w:t>
            </w:r>
            <w:r w:rsidR="00B01BCA">
              <w:rPr>
                <w:rFonts w:ascii="Arial" w:hAnsi="Arial" w:cs="Arial"/>
                <w:snapToGrid/>
                <w:sz w:val="18"/>
                <w:szCs w:val="18"/>
              </w:rPr>
              <w:t>3,887</w:t>
            </w:r>
          </w:p>
        </w:tc>
        <w:tc>
          <w:tcPr>
            <w:tcW w:w="720" w:type="dxa"/>
            <w:tcBorders>
              <w:top w:val="nil"/>
              <w:left w:val="nil"/>
              <w:bottom w:val="single" w:sz="4" w:space="0" w:color="auto"/>
              <w:right w:val="single" w:sz="4" w:space="0" w:color="auto"/>
            </w:tcBorders>
            <w:shd w:val="clear" w:color="auto" w:fill="auto"/>
            <w:vAlign w:val="bottom"/>
            <w:hideMark/>
          </w:tcPr>
          <w:p w:rsidR="00FF01E9" w:rsidRPr="00FF01E9" w:rsidP="00FF01E9" w14:paraId="1FD9A113" w14:textId="77777777">
            <w:pPr>
              <w:widowControl/>
              <w:jc w:val="right"/>
              <w:rPr>
                <w:rFonts w:ascii="Arial" w:hAnsi="Arial" w:cs="Arial"/>
                <w:snapToGrid/>
                <w:sz w:val="18"/>
                <w:szCs w:val="18"/>
              </w:rPr>
            </w:pPr>
            <w:r>
              <w:rPr>
                <w:rFonts w:ascii="Arial" w:hAnsi="Arial" w:cs="Arial"/>
                <w:snapToGrid/>
                <w:sz w:val="18"/>
                <w:szCs w:val="18"/>
              </w:rPr>
              <w:t>7</w:t>
            </w:r>
          </w:p>
        </w:tc>
        <w:tc>
          <w:tcPr>
            <w:tcW w:w="900" w:type="dxa"/>
            <w:tcBorders>
              <w:top w:val="nil"/>
              <w:left w:val="nil"/>
              <w:bottom w:val="single" w:sz="4" w:space="0" w:color="auto"/>
              <w:right w:val="single" w:sz="4" w:space="0" w:color="auto"/>
            </w:tcBorders>
            <w:shd w:val="clear" w:color="auto" w:fill="auto"/>
            <w:vAlign w:val="bottom"/>
            <w:hideMark/>
          </w:tcPr>
          <w:p w:rsidR="00FF01E9" w:rsidRPr="00FF01E9" w:rsidP="00FF01E9" w14:paraId="1FD9A114" w14:textId="77777777">
            <w:pPr>
              <w:widowControl/>
              <w:jc w:val="right"/>
              <w:rPr>
                <w:rFonts w:ascii="Arial" w:hAnsi="Arial" w:cs="Arial"/>
                <w:snapToGrid/>
                <w:sz w:val="18"/>
                <w:szCs w:val="18"/>
              </w:rPr>
            </w:pPr>
            <w:r w:rsidRPr="00FF01E9">
              <w:rPr>
                <w:rFonts w:ascii="Arial" w:hAnsi="Arial" w:cs="Arial"/>
                <w:snapToGrid/>
                <w:sz w:val="18"/>
                <w:szCs w:val="18"/>
              </w:rPr>
              <w:t>2,</w:t>
            </w:r>
            <w:r w:rsidR="00B01BCA">
              <w:rPr>
                <w:rFonts w:ascii="Arial" w:hAnsi="Arial" w:cs="Arial"/>
                <w:snapToGrid/>
                <w:sz w:val="18"/>
                <w:szCs w:val="18"/>
              </w:rPr>
              <w:t>787</w:t>
            </w:r>
          </w:p>
        </w:tc>
        <w:tc>
          <w:tcPr>
            <w:tcW w:w="990" w:type="dxa"/>
            <w:tcBorders>
              <w:top w:val="nil"/>
              <w:left w:val="nil"/>
              <w:bottom w:val="single" w:sz="4" w:space="0" w:color="auto"/>
              <w:right w:val="single" w:sz="4" w:space="0" w:color="auto"/>
            </w:tcBorders>
            <w:shd w:val="clear" w:color="auto" w:fill="auto"/>
            <w:vAlign w:val="bottom"/>
            <w:hideMark/>
          </w:tcPr>
          <w:p w:rsidR="00FF01E9" w:rsidRPr="00FF01E9" w:rsidP="00FF01E9" w14:paraId="1FD9A115" w14:textId="77777777">
            <w:pPr>
              <w:widowControl/>
              <w:jc w:val="right"/>
              <w:rPr>
                <w:rFonts w:ascii="Arial" w:hAnsi="Arial" w:cs="Arial"/>
                <w:snapToGrid/>
                <w:sz w:val="18"/>
                <w:szCs w:val="18"/>
              </w:rPr>
            </w:pPr>
            <w:r w:rsidRPr="00FF01E9">
              <w:rPr>
                <w:rFonts w:ascii="Arial" w:hAnsi="Arial" w:cs="Arial"/>
                <w:snapToGrid/>
                <w:sz w:val="18"/>
                <w:szCs w:val="18"/>
              </w:rPr>
              <w:t> </w:t>
            </w:r>
          </w:p>
        </w:tc>
        <w:tc>
          <w:tcPr>
            <w:tcW w:w="810" w:type="dxa"/>
            <w:tcBorders>
              <w:top w:val="nil"/>
              <w:left w:val="nil"/>
              <w:bottom w:val="single" w:sz="4" w:space="0" w:color="auto"/>
              <w:right w:val="single" w:sz="4" w:space="0" w:color="auto"/>
            </w:tcBorders>
            <w:shd w:val="clear" w:color="auto" w:fill="auto"/>
            <w:vAlign w:val="bottom"/>
            <w:hideMark/>
          </w:tcPr>
          <w:p w:rsidR="00FF01E9" w:rsidRPr="00FF01E9" w:rsidP="00FF01E9" w14:paraId="1FD9A116" w14:textId="77777777">
            <w:pPr>
              <w:widowControl/>
              <w:jc w:val="right"/>
              <w:rPr>
                <w:rFonts w:ascii="Arial" w:hAnsi="Arial" w:cs="Arial"/>
                <w:snapToGrid/>
                <w:sz w:val="18"/>
                <w:szCs w:val="18"/>
              </w:rPr>
            </w:pPr>
            <w:r w:rsidRPr="00FF01E9">
              <w:rPr>
                <w:rFonts w:ascii="Arial" w:hAnsi="Arial" w:cs="Arial"/>
                <w:snapToGrid/>
                <w:sz w:val="18"/>
                <w:szCs w:val="18"/>
              </w:rPr>
              <w:t> </w:t>
            </w:r>
          </w:p>
        </w:tc>
        <w:tc>
          <w:tcPr>
            <w:tcW w:w="720" w:type="dxa"/>
            <w:tcBorders>
              <w:top w:val="nil"/>
              <w:left w:val="nil"/>
              <w:bottom w:val="single" w:sz="4" w:space="0" w:color="auto"/>
              <w:right w:val="single" w:sz="4" w:space="0" w:color="auto"/>
            </w:tcBorders>
            <w:shd w:val="clear" w:color="auto" w:fill="auto"/>
            <w:vAlign w:val="bottom"/>
            <w:hideMark/>
          </w:tcPr>
          <w:p w:rsidR="00FF01E9" w:rsidRPr="00FF01E9" w:rsidP="00FF01E9" w14:paraId="1FD9A117" w14:textId="77777777">
            <w:pPr>
              <w:widowControl/>
              <w:jc w:val="right"/>
              <w:rPr>
                <w:rFonts w:ascii="Arial" w:hAnsi="Arial" w:cs="Arial"/>
                <w:snapToGrid/>
                <w:sz w:val="18"/>
                <w:szCs w:val="18"/>
              </w:rPr>
            </w:pPr>
            <w:r w:rsidRPr="00FF01E9">
              <w:rPr>
                <w:rFonts w:ascii="Arial" w:hAnsi="Arial" w:cs="Arial"/>
                <w:snapToGrid/>
                <w:sz w:val="18"/>
                <w:szCs w:val="18"/>
              </w:rPr>
              <w:t> </w:t>
            </w:r>
          </w:p>
        </w:tc>
        <w:tc>
          <w:tcPr>
            <w:tcW w:w="900" w:type="dxa"/>
            <w:tcBorders>
              <w:top w:val="nil"/>
              <w:left w:val="nil"/>
              <w:bottom w:val="single" w:sz="4" w:space="0" w:color="auto"/>
              <w:right w:val="single" w:sz="4" w:space="0" w:color="auto"/>
            </w:tcBorders>
            <w:shd w:val="clear" w:color="auto" w:fill="auto"/>
            <w:vAlign w:val="bottom"/>
            <w:hideMark/>
          </w:tcPr>
          <w:p w:rsidR="00FF01E9" w:rsidRPr="00FF01E9" w:rsidP="00FF01E9" w14:paraId="1FD9A118" w14:textId="77777777">
            <w:pPr>
              <w:widowControl/>
              <w:jc w:val="right"/>
              <w:rPr>
                <w:rFonts w:ascii="Arial" w:hAnsi="Arial" w:cs="Arial"/>
                <w:snapToGrid/>
                <w:sz w:val="18"/>
                <w:szCs w:val="18"/>
              </w:rPr>
            </w:pPr>
            <w:r w:rsidRPr="00FF01E9">
              <w:rPr>
                <w:rFonts w:ascii="Arial" w:hAnsi="Arial" w:cs="Arial"/>
                <w:snapToGrid/>
                <w:sz w:val="18"/>
                <w:szCs w:val="18"/>
              </w:rPr>
              <w:t> </w:t>
            </w:r>
          </w:p>
        </w:tc>
        <w:tc>
          <w:tcPr>
            <w:tcW w:w="1530" w:type="dxa"/>
            <w:tcBorders>
              <w:top w:val="nil"/>
              <w:left w:val="nil"/>
              <w:bottom w:val="single" w:sz="4" w:space="0" w:color="auto"/>
              <w:right w:val="single" w:sz="4" w:space="0" w:color="auto"/>
            </w:tcBorders>
            <w:shd w:val="clear" w:color="auto" w:fill="auto"/>
            <w:vAlign w:val="bottom"/>
            <w:hideMark/>
          </w:tcPr>
          <w:p w:rsidR="00FF01E9" w:rsidRPr="00FF01E9" w:rsidP="00FF01E9" w14:paraId="1FD9A119" w14:textId="77777777">
            <w:pPr>
              <w:widowControl/>
              <w:jc w:val="right"/>
              <w:rPr>
                <w:rFonts w:ascii="Arial" w:hAnsi="Arial" w:cs="Arial"/>
                <w:snapToGrid/>
                <w:sz w:val="18"/>
                <w:szCs w:val="18"/>
              </w:rPr>
            </w:pPr>
            <w:r w:rsidRPr="00FF01E9">
              <w:rPr>
                <w:rFonts w:ascii="Arial" w:hAnsi="Arial" w:cs="Arial"/>
                <w:snapToGrid/>
                <w:sz w:val="18"/>
                <w:szCs w:val="18"/>
              </w:rPr>
              <w:t> </w:t>
            </w:r>
          </w:p>
        </w:tc>
        <w:tc>
          <w:tcPr>
            <w:tcW w:w="1680" w:type="dxa"/>
            <w:vAlign w:val="center"/>
            <w:hideMark/>
          </w:tcPr>
          <w:p w:rsidR="00FF01E9" w:rsidRPr="00FF01E9" w:rsidP="00FF01E9" w14:paraId="1FD9A11A" w14:textId="77777777">
            <w:pPr>
              <w:widowControl/>
              <w:rPr>
                <w:snapToGrid/>
                <w:sz w:val="20"/>
              </w:rPr>
            </w:pPr>
          </w:p>
        </w:tc>
      </w:tr>
      <w:tr w14:paraId="1FD9A129" w14:textId="77777777" w:rsidTr="005C5D7B">
        <w:tblPrEx>
          <w:tblW w:w="14275" w:type="dxa"/>
          <w:tblInd w:w="113" w:type="dxa"/>
          <w:tblLayout w:type="fixed"/>
          <w:tblLook w:val="04A0"/>
        </w:tblPrEx>
        <w:trPr>
          <w:trHeight w:val="801"/>
        </w:trPr>
        <w:tc>
          <w:tcPr>
            <w:tcW w:w="2875" w:type="dxa"/>
            <w:tcBorders>
              <w:top w:val="nil"/>
              <w:left w:val="single" w:sz="4" w:space="0" w:color="auto"/>
              <w:bottom w:val="single" w:sz="4" w:space="0" w:color="auto"/>
              <w:right w:val="single" w:sz="4" w:space="0" w:color="auto"/>
            </w:tcBorders>
            <w:shd w:val="clear" w:color="auto" w:fill="auto"/>
            <w:vAlign w:val="center"/>
            <w:hideMark/>
          </w:tcPr>
          <w:p w:rsidR="00FF01E9" w:rsidRPr="00FF01E9" w:rsidP="00FF01E9" w14:paraId="1FD9A11C" w14:textId="77777777">
            <w:pPr>
              <w:widowControl/>
              <w:ind w:firstLine="200" w:firstLineChars="100"/>
              <w:rPr>
                <w:snapToGrid/>
                <w:color w:val="000000"/>
                <w:sz w:val="20"/>
              </w:rPr>
            </w:pPr>
            <w:r w:rsidRPr="00FF01E9">
              <w:rPr>
                <w:snapToGrid/>
                <w:color w:val="000000"/>
                <w:sz w:val="20"/>
              </w:rPr>
              <w:t>2. Households with children and either lower-income or screened in after food spending questions (average 35 questions)</w:t>
            </w:r>
          </w:p>
        </w:tc>
        <w:tc>
          <w:tcPr>
            <w:tcW w:w="900" w:type="dxa"/>
            <w:tcBorders>
              <w:top w:val="nil"/>
              <w:left w:val="nil"/>
              <w:bottom w:val="single" w:sz="4" w:space="0" w:color="auto"/>
              <w:right w:val="single" w:sz="4" w:space="0" w:color="auto"/>
            </w:tcBorders>
            <w:shd w:val="clear" w:color="auto" w:fill="auto"/>
            <w:vAlign w:val="bottom"/>
            <w:hideMark/>
          </w:tcPr>
          <w:p w:rsidR="00FF01E9" w:rsidRPr="00FF01E9" w:rsidP="00FF01E9" w14:paraId="1FD9A11D" w14:textId="77777777">
            <w:pPr>
              <w:widowControl/>
              <w:jc w:val="right"/>
              <w:rPr>
                <w:rFonts w:ascii="Arial" w:hAnsi="Arial" w:cs="Arial"/>
                <w:snapToGrid/>
                <w:sz w:val="18"/>
                <w:szCs w:val="18"/>
              </w:rPr>
            </w:pPr>
            <w:r w:rsidRPr="00FF01E9">
              <w:rPr>
                <w:rFonts w:ascii="Arial" w:hAnsi="Arial" w:cs="Arial"/>
                <w:snapToGrid/>
                <w:sz w:val="18"/>
                <w:szCs w:val="18"/>
              </w:rPr>
              <w:t> </w:t>
            </w:r>
          </w:p>
        </w:tc>
        <w:tc>
          <w:tcPr>
            <w:tcW w:w="630" w:type="dxa"/>
            <w:tcBorders>
              <w:top w:val="nil"/>
              <w:left w:val="nil"/>
              <w:bottom w:val="single" w:sz="4" w:space="0" w:color="auto"/>
              <w:right w:val="single" w:sz="4" w:space="0" w:color="auto"/>
            </w:tcBorders>
            <w:shd w:val="clear" w:color="auto" w:fill="auto"/>
            <w:vAlign w:val="bottom"/>
            <w:hideMark/>
          </w:tcPr>
          <w:p w:rsidR="00FF01E9" w:rsidRPr="00FF01E9" w:rsidP="00FF01E9" w14:paraId="1FD9A11E" w14:textId="77777777">
            <w:pPr>
              <w:widowControl/>
              <w:jc w:val="right"/>
              <w:rPr>
                <w:rFonts w:ascii="Arial" w:hAnsi="Arial" w:cs="Arial"/>
                <w:snapToGrid/>
                <w:sz w:val="18"/>
                <w:szCs w:val="18"/>
              </w:rPr>
            </w:pPr>
            <w:r w:rsidRPr="00FF01E9">
              <w:rPr>
                <w:rFonts w:ascii="Arial" w:hAnsi="Arial" w:cs="Arial"/>
                <w:snapToGrid/>
                <w:sz w:val="18"/>
                <w:szCs w:val="18"/>
              </w:rPr>
              <w:t> </w:t>
            </w:r>
          </w:p>
        </w:tc>
        <w:tc>
          <w:tcPr>
            <w:tcW w:w="810" w:type="dxa"/>
            <w:tcBorders>
              <w:top w:val="nil"/>
              <w:left w:val="nil"/>
              <w:bottom w:val="single" w:sz="4" w:space="0" w:color="auto"/>
              <w:right w:val="single" w:sz="4" w:space="0" w:color="auto"/>
            </w:tcBorders>
            <w:shd w:val="clear" w:color="auto" w:fill="auto"/>
            <w:vAlign w:val="bottom"/>
            <w:hideMark/>
          </w:tcPr>
          <w:p w:rsidR="00FF01E9" w:rsidRPr="00FF01E9" w:rsidP="00FF01E9" w14:paraId="1FD9A11F" w14:textId="77777777">
            <w:pPr>
              <w:widowControl/>
              <w:jc w:val="right"/>
              <w:rPr>
                <w:rFonts w:ascii="Arial" w:hAnsi="Arial" w:cs="Arial"/>
                <w:snapToGrid/>
                <w:sz w:val="18"/>
                <w:szCs w:val="18"/>
              </w:rPr>
            </w:pPr>
            <w:r>
              <w:rPr>
                <w:rFonts w:ascii="Arial" w:hAnsi="Arial" w:cs="Arial"/>
                <w:snapToGrid/>
                <w:sz w:val="18"/>
                <w:szCs w:val="18"/>
              </w:rPr>
              <w:t>5,</w:t>
            </w:r>
            <w:r w:rsidR="00B01BCA">
              <w:rPr>
                <w:rFonts w:ascii="Arial" w:hAnsi="Arial" w:cs="Arial"/>
                <w:snapToGrid/>
                <w:sz w:val="18"/>
                <w:szCs w:val="18"/>
              </w:rPr>
              <w:t>414</w:t>
            </w:r>
          </w:p>
        </w:tc>
        <w:tc>
          <w:tcPr>
            <w:tcW w:w="810" w:type="dxa"/>
            <w:tcBorders>
              <w:top w:val="nil"/>
              <w:left w:val="nil"/>
              <w:bottom w:val="single" w:sz="4" w:space="0" w:color="auto"/>
              <w:right w:val="single" w:sz="4" w:space="0" w:color="auto"/>
            </w:tcBorders>
            <w:shd w:val="clear" w:color="auto" w:fill="auto"/>
            <w:vAlign w:val="bottom"/>
            <w:hideMark/>
          </w:tcPr>
          <w:p w:rsidR="00FF01E9" w:rsidRPr="00FF01E9" w:rsidP="00FF01E9" w14:paraId="1FD9A120" w14:textId="77777777">
            <w:pPr>
              <w:widowControl/>
              <w:jc w:val="right"/>
              <w:rPr>
                <w:rFonts w:ascii="Arial" w:hAnsi="Arial" w:cs="Arial"/>
                <w:snapToGrid/>
                <w:sz w:val="18"/>
                <w:szCs w:val="18"/>
              </w:rPr>
            </w:pPr>
            <w:r>
              <w:rPr>
                <w:rFonts w:ascii="Arial" w:hAnsi="Arial" w:cs="Arial"/>
                <w:snapToGrid/>
                <w:sz w:val="18"/>
                <w:szCs w:val="18"/>
              </w:rPr>
              <w:t>5,4</w:t>
            </w:r>
            <w:r w:rsidR="00B01BCA">
              <w:rPr>
                <w:rFonts w:ascii="Arial" w:hAnsi="Arial" w:cs="Arial"/>
                <w:snapToGrid/>
                <w:sz w:val="18"/>
                <w:szCs w:val="18"/>
              </w:rPr>
              <w:t>14</w:t>
            </w:r>
          </w:p>
        </w:tc>
        <w:tc>
          <w:tcPr>
            <w:tcW w:w="720" w:type="dxa"/>
            <w:tcBorders>
              <w:top w:val="nil"/>
              <w:left w:val="nil"/>
              <w:bottom w:val="single" w:sz="4" w:space="0" w:color="auto"/>
              <w:right w:val="single" w:sz="4" w:space="0" w:color="auto"/>
            </w:tcBorders>
            <w:shd w:val="clear" w:color="auto" w:fill="auto"/>
            <w:vAlign w:val="bottom"/>
            <w:hideMark/>
          </w:tcPr>
          <w:p w:rsidR="00FF01E9" w:rsidRPr="00FF01E9" w:rsidP="00FF01E9" w14:paraId="1FD9A121" w14:textId="77777777">
            <w:pPr>
              <w:widowControl/>
              <w:jc w:val="right"/>
              <w:rPr>
                <w:rFonts w:ascii="Arial" w:hAnsi="Arial" w:cs="Arial"/>
                <w:snapToGrid/>
                <w:sz w:val="18"/>
                <w:szCs w:val="18"/>
              </w:rPr>
            </w:pPr>
            <w:r w:rsidRPr="00FF01E9">
              <w:rPr>
                <w:rFonts w:ascii="Arial" w:hAnsi="Arial" w:cs="Arial"/>
                <w:snapToGrid/>
                <w:sz w:val="18"/>
                <w:szCs w:val="18"/>
              </w:rPr>
              <w:t>15</w:t>
            </w:r>
          </w:p>
        </w:tc>
        <w:tc>
          <w:tcPr>
            <w:tcW w:w="900" w:type="dxa"/>
            <w:tcBorders>
              <w:top w:val="nil"/>
              <w:left w:val="nil"/>
              <w:bottom w:val="single" w:sz="4" w:space="0" w:color="auto"/>
              <w:right w:val="single" w:sz="4" w:space="0" w:color="auto"/>
            </w:tcBorders>
            <w:shd w:val="clear" w:color="auto" w:fill="auto"/>
            <w:vAlign w:val="bottom"/>
            <w:hideMark/>
          </w:tcPr>
          <w:p w:rsidR="00FF01E9" w:rsidRPr="00FF01E9" w:rsidP="00FF01E9" w14:paraId="1FD9A122" w14:textId="77777777">
            <w:pPr>
              <w:widowControl/>
              <w:jc w:val="right"/>
              <w:rPr>
                <w:rFonts w:ascii="Arial" w:hAnsi="Arial" w:cs="Arial"/>
                <w:snapToGrid/>
                <w:sz w:val="18"/>
                <w:szCs w:val="18"/>
              </w:rPr>
            </w:pPr>
            <w:r>
              <w:rPr>
                <w:rFonts w:ascii="Arial" w:hAnsi="Arial" w:cs="Arial"/>
                <w:snapToGrid/>
                <w:sz w:val="18"/>
                <w:szCs w:val="18"/>
              </w:rPr>
              <w:t>1,3</w:t>
            </w:r>
            <w:r w:rsidR="00B01BCA">
              <w:rPr>
                <w:rFonts w:ascii="Arial" w:hAnsi="Arial" w:cs="Arial"/>
                <w:snapToGrid/>
                <w:sz w:val="18"/>
                <w:szCs w:val="18"/>
              </w:rPr>
              <w:t>54</w:t>
            </w:r>
          </w:p>
        </w:tc>
        <w:tc>
          <w:tcPr>
            <w:tcW w:w="990" w:type="dxa"/>
            <w:tcBorders>
              <w:top w:val="nil"/>
              <w:left w:val="nil"/>
              <w:bottom w:val="single" w:sz="4" w:space="0" w:color="auto"/>
              <w:right w:val="single" w:sz="4" w:space="0" w:color="auto"/>
            </w:tcBorders>
            <w:shd w:val="clear" w:color="auto" w:fill="auto"/>
            <w:vAlign w:val="bottom"/>
            <w:hideMark/>
          </w:tcPr>
          <w:p w:rsidR="00FF01E9" w:rsidRPr="00FF01E9" w:rsidP="00FF01E9" w14:paraId="1FD9A123" w14:textId="77777777">
            <w:pPr>
              <w:widowControl/>
              <w:jc w:val="right"/>
              <w:rPr>
                <w:rFonts w:ascii="Arial" w:hAnsi="Arial" w:cs="Arial"/>
                <w:snapToGrid/>
                <w:sz w:val="18"/>
                <w:szCs w:val="18"/>
              </w:rPr>
            </w:pPr>
            <w:r w:rsidRPr="00FF01E9">
              <w:rPr>
                <w:rFonts w:ascii="Arial" w:hAnsi="Arial" w:cs="Arial"/>
                <w:snapToGrid/>
                <w:sz w:val="18"/>
                <w:szCs w:val="18"/>
              </w:rPr>
              <w:t> </w:t>
            </w:r>
          </w:p>
        </w:tc>
        <w:tc>
          <w:tcPr>
            <w:tcW w:w="810" w:type="dxa"/>
            <w:tcBorders>
              <w:top w:val="nil"/>
              <w:left w:val="nil"/>
              <w:bottom w:val="single" w:sz="4" w:space="0" w:color="auto"/>
              <w:right w:val="single" w:sz="4" w:space="0" w:color="auto"/>
            </w:tcBorders>
            <w:shd w:val="clear" w:color="auto" w:fill="auto"/>
            <w:vAlign w:val="bottom"/>
            <w:hideMark/>
          </w:tcPr>
          <w:p w:rsidR="00FF01E9" w:rsidRPr="00FF01E9" w:rsidP="00FF01E9" w14:paraId="1FD9A124" w14:textId="77777777">
            <w:pPr>
              <w:widowControl/>
              <w:jc w:val="right"/>
              <w:rPr>
                <w:rFonts w:ascii="Arial" w:hAnsi="Arial" w:cs="Arial"/>
                <w:snapToGrid/>
                <w:sz w:val="18"/>
                <w:szCs w:val="18"/>
              </w:rPr>
            </w:pPr>
            <w:r w:rsidRPr="00FF01E9">
              <w:rPr>
                <w:rFonts w:ascii="Arial" w:hAnsi="Arial" w:cs="Arial"/>
                <w:snapToGrid/>
                <w:sz w:val="18"/>
                <w:szCs w:val="18"/>
              </w:rPr>
              <w:t> </w:t>
            </w:r>
          </w:p>
        </w:tc>
        <w:tc>
          <w:tcPr>
            <w:tcW w:w="720" w:type="dxa"/>
            <w:tcBorders>
              <w:top w:val="nil"/>
              <w:left w:val="nil"/>
              <w:bottom w:val="single" w:sz="4" w:space="0" w:color="auto"/>
              <w:right w:val="single" w:sz="4" w:space="0" w:color="auto"/>
            </w:tcBorders>
            <w:shd w:val="clear" w:color="auto" w:fill="auto"/>
            <w:vAlign w:val="bottom"/>
            <w:hideMark/>
          </w:tcPr>
          <w:p w:rsidR="00FF01E9" w:rsidRPr="00FF01E9" w:rsidP="00FF01E9" w14:paraId="1FD9A125" w14:textId="77777777">
            <w:pPr>
              <w:widowControl/>
              <w:jc w:val="right"/>
              <w:rPr>
                <w:rFonts w:ascii="Arial" w:hAnsi="Arial" w:cs="Arial"/>
                <w:snapToGrid/>
                <w:sz w:val="18"/>
                <w:szCs w:val="18"/>
              </w:rPr>
            </w:pPr>
            <w:r w:rsidRPr="00FF01E9">
              <w:rPr>
                <w:rFonts w:ascii="Arial" w:hAnsi="Arial" w:cs="Arial"/>
                <w:snapToGrid/>
                <w:sz w:val="18"/>
                <w:szCs w:val="18"/>
              </w:rPr>
              <w:t> </w:t>
            </w:r>
          </w:p>
        </w:tc>
        <w:tc>
          <w:tcPr>
            <w:tcW w:w="900" w:type="dxa"/>
            <w:tcBorders>
              <w:top w:val="nil"/>
              <w:left w:val="nil"/>
              <w:bottom w:val="single" w:sz="4" w:space="0" w:color="auto"/>
              <w:right w:val="single" w:sz="4" w:space="0" w:color="auto"/>
            </w:tcBorders>
            <w:shd w:val="clear" w:color="auto" w:fill="auto"/>
            <w:vAlign w:val="bottom"/>
            <w:hideMark/>
          </w:tcPr>
          <w:p w:rsidR="00FF01E9" w:rsidRPr="00FF01E9" w:rsidP="00FF01E9" w14:paraId="1FD9A126" w14:textId="77777777">
            <w:pPr>
              <w:widowControl/>
              <w:jc w:val="right"/>
              <w:rPr>
                <w:rFonts w:ascii="Arial" w:hAnsi="Arial" w:cs="Arial"/>
                <w:snapToGrid/>
                <w:sz w:val="18"/>
                <w:szCs w:val="18"/>
              </w:rPr>
            </w:pPr>
            <w:r w:rsidRPr="00FF01E9">
              <w:rPr>
                <w:rFonts w:ascii="Arial" w:hAnsi="Arial" w:cs="Arial"/>
                <w:snapToGrid/>
                <w:sz w:val="18"/>
                <w:szCs w:val="18"/>
              </w:rPr>
              <w:t> </w:t>
            </w:r>
          </w:p>
        </w:tc>
        <w:tc>
          <w:tcPr>
            <w:tcW w:w="1530" w:type="dxa"/>
            <w:tcBorders>
              <w:top w:val="nil"/>
              <w:left w:val="nil"/>
              <w:bottom w:val="single" w:sz="4" w:space="0" w:color="auto"/>
              <w:right w:val="single" w:sz="4" w:space="0" w:color="auto"/>
            </w:tcBorders>
            <w:shd w:val="clear" w:color="auto" w:fill="auto"/>
            <w:vAlign w:val="bottom"/>
            <w:hideMark/>
          </w:tcPr>
          <w:p w:rsidR="00FF01E9" w:rsidRPr="00FF01E9" w:rsidP="00FF01E9" w14:paraId="1FD9A127" w14:textId="77777777">
            <w:pPr>
              <w:widowControl/>
              <w:jc w:val="right"/>
              <w:rPr>
                <w:rFonts w:ascii="Arial" w:hAnsi="Arial" w:cs="Arial"/>
                <w:snapToGrid/>
                <w:sz w:val="18"/>
                <w:szCs w:val="18"/>
              </w:rPr>
            </w:pPr>
            <w:r w:rsidRPr="00FF01E9">
              <w:rPr>
                <w:rFonts w:ascii="Arial" w:hAnsi="Arial" w:cs="Arial"/>
                <w:snapToGrid/>
                <w:sz w:val="18"/>
                <w:szCs w:val="18"/>
              </w:rPr>
              <w:t> </w:t>
            </w:r>
          </w:p>
        </w:tc>
        <w:tc>
          <w:tcPr>
            <w:tcW w:w="1680" w:type="dxa"/>
            <w:vAlign w:val="center"/>
            <w:hideMark/>
          </w:tcPr>
          <w:p w:rsidR="00FF01E9" w:rsidRPr="00FF01E9" w:rsidP="00FF01E9" w14:paraId="1FD9A128" w14:textId="77777777">
            <w:pPr>
              <w:widowControl/>
              <w:rPr>
                <w:snapToGrid/>
                <w:sz w:val="20"/>
              </w:rPr>
            </w:pPr>
          </w:p>
        </w:tc>
      </w:tr>
      <w:tr w14:paraId="1FD9A137" w14:textId="77777777" w:rsidTr="005C5D7B">
        <w:tblPrEx>
          <w:tblW w:w="14275" w:type="dxa"/>
          <w:tblInd w:w="113" w:type="dxa"/>
          <w:tblLayout w:type="fixed"/>
          <w:tblLook w:val="04A0"/>
        </w:tblPrEx>
        <w:trPr>
          <w:trHeight w:val="801"/>
        </w:trPr>
        <w:tc>
          <w:tcPr>
            <w:tcW w:w="2875" w:type="dxa"/>
            <w:tcBorders>
              <w:top w:val="nil"/>
              <w:left w:val="single" w:sz="4" w:space="0" w:color="auto"/>
              <w:bottom w:val="single" w:sz="4" w:space="0" w:color="auto"/>
              <w:right w:val="single" w:sz="4" w:space="0" w:color="auto"/>
            </w:tcBorders>
            <w:shd w:val="clear" w:color="auto" w:fill="auto"/>
            <w:vAlign w:val="center"/>
            <w:hideMark/>
          </w:tcPr>
          <w:p w:rsidR="00FF01E9" w:rsidRPr="00FF01E9" w:rsidP="00FF01E9" w14:paraId="1FD9A12A" w14:textId="77777777">
            <w:pPr>
              <w:widowControl/>
              <w:ind w:firstLine="200" w:firstLineChars="100"/>
              <w:rPr>
                <w:snapToGrid/>
                <w:color w:val="000000"/>
                <w:sz w:val="20"/>
              </w:rPr>
            </w:pPr>
            <w:r w:rsidRPr="00FF01E9">
              <w:rPr>
                <w:snapToGrid/>
                <w:color w:val="000000"/>
                <w:sz w:val="20"/>
              </w:rPr>
              <w:t>3. Households with no child and either lower-income or screened in after food spending questions (average 26 questions)</w:t>
            </w:r>
          </w:p>
        </w:tc>
        <w:tc>
          <w:tcPr>
            <w:tcW w:w="900" w:type="dxa"/>
            <w:tcBorders>
              <w:top w:val="nil"/>
              <w:left w:val="nil"/>
              <w:bottom w:val="single" w:sz="4" w:space="0" w:color="auto"/>
              <w:right w:val="single" w:sz="4" w:space="0" w:color="auto"/>
            </w:tcBorders>
            <w:shd w:val="clear" w:color="auto" w:fill="auto"/>
            <w:vAlign w:val="bottom"/>
            <w:hideMark/>
          </w:tcPr>
          <w:p w:rsidR="00FF01E9" w:rsidRPr="00FF01E9" w:rsidP="00FF01E9" w14:paraId="1FD9A12B" w14:textId="77777777">
            <w:pPr>
              <w:widowControl/>
              <w:jc w:val="right"/>
              <w:rPr>
                <w:rFonts w:ascii="Arial" w:hAnsi="Arial" w:cs="Arial"/>
                <w:snapToGrid/>
                <w:sz w:val="18"/>
                <w:szCs w:val="18"/>
              </w:rPr>
            </w:pPr>
            <w:r w:rsidRPr="00FF01E9">
              <w:rPr>
                <w:rFonts w:ascii="Arial" w:hAnsi="Arial" w:cs="Arial"/>
                <w:snapToGrid/>
                <w:sz w:val="18"/>
                <w:szCs w:val="18"/>
              </w:rPr>
              <w:t> </w:t>
            </w:r>
          </w:p>
        </w:tc>
        <w:tc>
          <w:tcPr>
            <w:tcW w:w="630" w:type="dxa"/>
            <w:tcBorders>
              <w:top w:val="nil"/>
              <w:left w:val="nil"/>
              <w:bottom w:val="single" w:sz="4" w:space="0" w:color="auto"/>
              <w:right w:val="single" w:sz="4" w:space="0" w:color="auto"/>
            </w:tcBorders>
            <w:shd w:val="clear" w:color="auto" w:fill="auto"/>
            <w:vAlign w:val="bottom"/>
            <w:hideMark/>
          </w:tcPr>
          <w:p w:rsidR="00FF01E9" w:rsidRPr="00FF01E9" w:rsidP="00FF01E9" w14:paraId="1FD9A12C" w14:textId="77777777">
            <w:pPr>
              <w:widowControl/>
              <w:jc w:val="right"/>
              <w:rPr>
                <w:rFonts w:ascii="Arial" w:hAnsi="Arial" w:cs="Arial"/>
                <w:snapToGrid/>
                <w:sz w:val="18"/>
                <w:szCs w:val="18"/>
              </w:rPr>
            </w:pPr>
            <w:r w:rsidRPr="00FF01E9">
              <w:rPr>
                <w:rFonts w:ascii="Arial" w:hAnsi="Arial" w:cs="Arial"/>
                <w:snapToGrid/>
                <w:sz w:val="18"/>
                <w:szCs w:val="18"/>
              </w:rPr>
              <w:t> </w:t>
            </w:r>
          </w:p>
        </w:tc>
        <w:tc>
          <w:tcPr>
            <w:tcW w:w="810" w:type="dxa"/>
            <w:tcBorders>
              <w:top w:val="nil"/>
              <w:left w:val="nil"/>
              <w:bottom w:val="single" w:sz="4" w:space="0" w:color="auto"/>
              <w:right w:val="single" w:sz="4" w:space="0" w:color="auto"/>
            </w:tcBorders>
            <w:shd w:val="clear" w:color="auto" w:fill="auto"/>
            <w:vAlign w:val="bottom"/>
            <w:hideMark/>
          </w:tcPr>
          <w:p w:rsidR="00FF01E9" w:rsidRPr="00FF01E9" w:rsidP="00FF01E9" w14:paraId="1FD9A12D" w14:textId="77777777">
            <w:pPr>
              <w:widowControl/>
              <w:jc w:val="right"/>
              <w:rPr>
                <w:rFonts w:ascii="Arial" w:hAnsi="Arial" w:cs="Arial"/>
                <w:snapToGrid/>
                <w:sz w:val="18"/>
                <w:szCs w:val="18"/>
              </w:rPr>
            </w:pPr>
            <w:r w:rsidRPr="00FF01E9">
              <w:rPr>
                <w:rFonts w:ascii="Arial" w:hAnsi="Arial" w:cs="Arial"/>
                <w:snapToGrid/>
                <w:sz w:val="18"/>
                <w:szCs w:val="18"/>
              </w:rPr>
              <w:t>1</w:t>
            </w:r>
            <w:r w:rsidR="00B01BCA">
              <w:rPr>
                <w:rFonts w:ascii="Arial" w:hAnsi="Arial" w:cs="Arial"/>
                <w:snapToGrid/>
                <w:sz w:val="18"/>
                <w:szCs w:val="18"/>
              </w:rPr>
              <w:t>2,249</w:t>
            </w:r>
          </w:p>
        </w:tc>
        <w:tc>
          <w:tcPr>
            <w:tcW w:w="810" w:type="dxa"/>
            <w:tcBorders>
              <w:top w:val="nil"/>
              <w:left w:val="nil"/>
              <w:bottom w:val="single" w:sz="4" w:space="0" w:color="auto"/>
              <w:right w:val="single" w:sz="4" w:space="0" w:color="auto"/>
            </w:tcBorders>
            <w:shd w:val="clear" w:color="auto" w:fill="auto"/>
            <w:vAlign w:val="bottom"/>
            <w:hideMark/>
          </w:tcPr>
          <w:p w:rsidR="00FF01E9" w:rsidRPr="00FF01E9" w:rsidP="00FF01E9" w14:paraId="1FD9A12E" w14:textId="77777777">
            <w:pPr>
              <w:widowControl/>
              <w:jc w:val="right"/>
              <w:rPr>
                <w:rFonts w:ascii="Arial" w:hAnsi="Arial" w:cs="Arial"/>
                <w:snapToGrid/>
                <w:sz w:val="18"/>
                <w:szCs w:val="18"/>
              </w:rPr>
            </w:pPr>
            <w:r w:rsidRPr="00FF01E9">
              <w:rPr>
                <w:rFonts w:ascii="Arial" w:hAnsi="Arial" w:cs="Arial"/>
                <w:snapToGrid/>
                <w:sz w:val="18"/>
                <w:szCs w:val="18"/>
              </w:rPr>
              <w:t>1</w:t>
            </w:r>
            <w:r w:rsidR="00B01BCA">
              <w:rPr>
                <w:rFonts w:ascii="Arial" w:hAnsi="Arial" w:cs="Arial"/>
                <w:snapToGrid/>
                <w:sz w:val="18"/>
                <w:szCs w:val="18"/>
              </w:rPr>
              <w:t>2,249</w:t>
            </w:r>
          </w:p>
        </w:tc>
        <w:tc>
          <w:tcPr>
            <w:tcW w:w="720" w:type="dxa"/>
            <w:tcBorders>
              <w:top w:val="nil"/>
              <w:left w:val="nil"/>
              <w:bottom w:val="single" w:sz="4" w:space="0" w:color="auto"/>
              <w:right w:val="single" w:sz="4" w:space="0" w:color="auto"/>
            </w:tcBorders>
            <w:shd w:val="clear" w:color="auto" w:fill="auto"/>
            <w:vAlign w:val="bottom"/>
            <w:hideMark/>
          </w:tcPr>
          <w:p w:rsidR="00FF01E9" w:rsidRPr="00FF01E9" w:rsidP="00FF01E9" w14:paraId="1FD9A12F" w14:textId="77777777">
            <w:pPr>
              <w:widowControl/>
              <w:jc w:val="right"/>
              <w:rPr>
                <w:rFonts w:ascii="Arial" w:hAnsi="Arial" w:cs="Arial"/>
                <w:snapToGrid/>
                <w:sz w:val="18"/>
                <w:szCs w:val="18"/>
              </w:rPr>
            </w:pPr>
            <w:r w:rsidRPr="00FF01E9">
              <w:rPr>
                <w:rFonts w:ascii="Arial" w:hAnsi="Arial" w:cs="Arial"/>
                <w:snapToGrid/>
                <w:sz w:val="18"/>
                <w:szCs w:val="18"/>
              </w:rPr>
              <w:t>1</w:t>
            </w:r>
            <w:r w:rsidR="00B01BCA">
              <w:rPr>
                <w:rFonts w:ascii="Arial" w:hAnsi="Arial" w:cs="Arial"/>
                <w:snapToGrid/>
                <w:sz w:val="18"/>
                <w:szCs w:val="18"/>
              </w:rPr>
              <w:t>1</w:t>
            </w:r>
          </w:p>
        </w:tc>
        <w:tc>
          <w:tcPr>
            <w:tcW w:w="900" w:type="dxa"/>
            <w:tcBorders>
              <w:top w:val="nil"/>
              <w:left w:val="nil"/>
              <w:bottom w:val="single" w:sz="4" w:space="0" w:color="auto"/>
              <w:right w:val="single" w:sz="4" w:space="0" w:color="auto"/>
            </w:tcBorders>
            <w:shd w:val="clear" w:color="auto" w:fill="auto"/>
            <w:vAlign w:val="bottom"/>
            <w:hideMark/>
          </w:tcPr>
          <w:p w:rsidR="00FF01E9" w:rsidRPr="00FF01E9" w:rsidP="00FF01E9" w14:paraId="1FD9A130" w14:textId="77777777">
            <w:pPr>
              <w:widowControl/>
              <w:jc w:val="right"/>
              <w:rPr>
                <w:rFonts w:ascii="Arial" w:hAnsi="Arial" w:cs="Arial"/>
                <w:snapToGrid/>
                <w:sz w:val="18"/>
                <w:szCs w:val="18"/>
              </w:rPr>
            </w:pPr>
            <w:r w:rsidRPr="00FF01E9">
              <w:rPr>
                <w:rFonts w:ascii="Arial" w:hAnsi="Arial" w:cs="Arial"/>
                <w:snapToGrid/>
                <w:sz w:val="18"/>
                <w:szCs w:val="18"/>
              </w:rPr>
              <w:t>2</w:t>
            </w:r>
            <w:r w:rsidR="004418FC">
              <w:rPr>
                <w:rFonts w:ascii="Arial" w:hAnsi="Arial" w:cs="Arial"/>
                <w:snapToGrid/>
                <w:sz w:val="18"/>
                <w:szCs w:val="18"/>
              </w:rPr>
              <w:t>,</w:t>
            </w:r>
            <w:r w:rsidR="00B01BCA">
              <w:rPr>
                <w:rFonts w:ascii="Arial" w:hAnsi="Arial" w:cs="Arial"/>
                <w:snapToGrid/>
                <w:sz w:val="18"/>
                <w:szCs w:val="18"/>
              </w:rPr>
              <w:t>246</w:t>
            </w:r>
          </w:p>
        </w:tc>
        <w:tc>
          <w:tcPr>
            <w:tcW w:w="990" w:type="dxa"/>
            <w:tcBorders>
              <w:top w:val="nil"/>
              <w:left w:val="nil"/>
              <w:bottom w:val="single" w:sz="4" w:space="0" w:color="auto"/>
              <w:right w:val="single" w:sz="4" w:space="0" w:color="auto"/>
            </w:tcBorders>
            <w:shd w:val="clear" w:color="auto" w:fill="auto"/>
            <w:vAlign w:val="bottom"/>
            <w:hideMark/>
          </w:tcPr>
          <w:p w:rsidR="00FF01E9" w:rsidRPr="00FF01E9" w:rsidP="00FF01E9" w14:paraId="1FD9A131" w14:textId="77777777">
            <w:pPr>
              <w:widowControl/>
              <w:jc w:val="right"/>
              <w:rPr>
                <w:rFonts w:ascii="Arial" w:hAnsi="Arial" w:cs="Arial"/>
                <w:snapToGrid/>
                <w:sz w:val="18"/>
                <w:szCs w:val="18"/>
              </w:rPr>
            </w:pPr>
            <w:r w:rsidRPr="00FF01E9">
              <w:rPr>
                <w:rFonts w:ascii="Arial" w:hAnsi="Arial" w:cs="Arial"/>
                <w:snapToGrid/>
                <w:sz w:val="18"/>
                <w:szCs w:val="18"/>
              </w:rPr>
              <w:t> </w:t>
            </w:r>
          </w:p>
        </w:tc>
        <w:tc>
          <w:tcPr>
            <w:tcW w:w="810" w:type="dxa"/>
            <w:tcBorders>
              <w:top w:val="nil"/>
              <w:left w:val="nil"/>
              <w:bottom w:val="single" w:sz="4" w:space="0" w:color="auto"/>
              <w:right w:val="single" w:sz="4" w:space="0" w:color="auto"/>
            </w:tcBorders>
            <w:shd w:val="clear" w:color="auto" w:fill="auto"/>
            <w:vAlign w:val="bottom"/>
            <w:hideMark/>
          </w:tcPr>
          <w:p w:rsidR="00FF01E9" w:rsidRPr="00FF01E9" w:rsidP="00FF01E9" w14:paraId="1FD9A132" w14:textId="77777777">
            <w:pPr>
              <w:widowControl/>
              <w:jc w:val="right"/>
              <w:rPr>
                <w:rFonts w:ascii="Arial" w:hAnsi="Arial" w:cs="Arial"/>
                <w:snapToGrid/>
                <w:sz w:val="18"/>
                <w:szCs w:val="18"/>
              </w:rPr>
            </w:pPr>
            <w:r w:rsidRPr="00FF01E9">
              <w:rPr>
                <w:rFonts w:ascii="Arial" w:hAnsi="Arial" w:cs="Arial"/>
                <w:snapToGrid/>
                <w:sz w:val="18"/>
                <w:szCs w:val="18"/>
              </w:rPr>
              <w:t> </w:t>
            </w:r>
          </w:p>
        </w:tc>
        <w:tc>
          <w:tcPr>
            <w:tcW w:w="720" w:type="dxa"/>
            <w:tcBorders>
              <w:top w:val="nil"/>
              <w:left w:val="nil"/>
              <w:bottom w:val="single" w:sz="4" w:space="0" w:color="auto"/>
              <w:right w:val="single" w:sz="4" w:space="0" w:color="auto"/>
            </w:tcBorders>
            <w:shd w:val="clear" w:color="auto" w:fill="auto"/>
            <w:vAlign w:val="bottom"/>
            <w:hideMark/>
          </w:tcPr>
          <w:p w:rsidR="00FF01E9" w:rsidRPr="00FF01E9" w:rsidP="00FF01E9" w14:paraId="1FD9A133" w14:textId="77777777">
            <w:pPr>
              <w:widowControl/>
              <w:jc w:val="right"/>
              <w:rPr>
                <w:rFonts w:ascii="Arial" w:hAnsi="Arial" w:cs="Arial"/>
                <w:snapToGrid/>
                <w:sz w:val="18"/>
                <w:szCs w:val="18"/>
              </w:rPr>
            </w:pPr>
            <w:r w:rsidRPr="00FF01E9">
              <w:rPr>
                <w:rFonts w:ascii="Arial" w:hAnsi="Arial" w:cs="Arial"/>
                <w:snapToGrid/>
                <w:sz w:val="18"/>
                <w:szCs w:val="18"/>
              </w:rPr>
              <w:t> </w:t>
            </w:r>
          </w:p>
        </w:tc>
        <w:tc>
          <w:tcPr>
            <w:tcW w:w="900" w:type="dxa"/>
            <w:tcBorders>
              <w:top w:val="nil"/>
              <w:left w:val="nil"/>
              <w:bottom w:val="single" w:sz="4" w:space="0" w:color="auto"/>
              <w:right w:val="single" w:sz="4" w:space="0" w:color="auto"/>
            </w:tcBorders>
            <w:shd w:val="clear" w:color="auto" w:fill="auto"/>
            <w:vAlign w:val="bottom"/>
            <w:hideMark/>
          </w:tcPr>
          <w:p w:rsidR="00FF01E9" w:rsidRPr="00FF01E9" w:rsidP="00FF01E9" w14:paraId="1FD9A134" w14:textId="77777777">
            <w:pPr>
              <w:widowControl/>
              <w:jc w:val="right"/>
              <w:rPr>
                <w:rFonts w:ascii="Arial" w:hAnsi="Arial" w:cs="Arial"/>
                <w:snapToGrid/>
                <w:sz w:val="18"/>
                <w:szCs w:val="18"/>
              </w:rPr>
            </w:pPr>
            <w:r w:rsidRPr="00FF01E9">
              <w:rPr>
                <w:rFonts w:ascii="Arial" w:hAnsi="Arial" w:cs="Arial"/>
                <w:snapToGrid/>
                <w:sz w:val="18"/>
                <w:szCs w:val="18"/>
              </w:rPr>
              <w:t> </w:t>
            </w:r>
          </w:p>
        </w:tc>
        <w:tc>
          <w:tcPr>
            <w:tcW w:w="1530" w:type="dxa"/>
            <w:tcBorders>
              <w:top w:val="nil"/>
              <w:left w:val="nil"/>
              <w:bottom w:val="single" w:sz="4" w:space="0" w:color="auto"/>
              <w:right w:val="single" w:sz="4" w:space="0" w:color="auto"/>
            </w:tcBorders>
            <w:shd w:val="clear" w:color="auto" w:fill="auto"/>
            <w:vAlign w:val="bottom"/>
            <w:hideMark/>
          </w:tcPr>
          <w:p w:rsidR="00FF01E9" w:rsidRPr="00FF01E9" w:rsidP="00FF01E9" w14:paraId="1FD9A135" w14:textId="77777777">
            <w:pPr>
              <w:widowControl/>
              <w:jc w:val="right"/>
              <w:rPr>
                <w:rFonts w:ascii="Arial" w:hAnsi="Arial" w:cs="Arial"/>
                <w:snapToGrid/>
                <w:sz w:val="18"/>
                <w:szCs w:val="18"/>
              </w:rPr>
            </w:pPr>
            <w:r w:rsidRPr="00FF01E9">
              <w:rPr>
                <w:rFonts w:ascii="Arial" w:hAnsi="Arial" w:cs="Arial"/>
                <w:snapToGrid/>
                <w:sz w:val="18"/>
                <w:szCs w:val="18"/>
              </w:rPr>
              <w:t> </w:t>
            </w:r>
          </w:p>
        </w:tc>
        <w:tc>
          <w:tcPr>
            <w:tcW w:w="1680" w:type="dxa"/>
            <w:vAlign w:val="center"/>
            <w:hideMark/>
          </w:tcPr>
          <w:p w:rsidR="00FF01E9" w:rsidRPr="00FF01E9" w:rsidP="00FF01E9" w14:paraId="1FD9A136" w14:textId="77777777">
            <w:pPr>
              <w:widowControl/>
              <w:rPr>
                <w:snapToGrid/>
                <w:sz w:val="20"/>
              </w:rPr>
            </w:pPr>
          </w:p>
        </w:tc>
      </w:tr>
      <w:tr w14:paraId="1FD9A145" w14:textId="77777777" w:rsidTr="005C5D7B">
        <w:tblPrEx>
          <w:tblW w:w="14275" w:type="dxa"/>
          <w:tblInd w:w="113" w:type="dxa"/>
          <w:tblLayout w:type="fixed"/>
          <w:tblLook w:val="04A0"/>
        </w:tblPrEx>
        <w:trPr>
          <w:trHeight w:val="297"/>
        </w:trPr>
        <w:tc>
          <w:tcPr>
            <w:tcW w:w="2875" w:type="dxa"/>
            <w:tcBorders>
              <w:top w:val="nil"/>
              <w:left w:val="single" w:sz="4" w:space="0" w:color="auto"/>
              <w:bottom w:val="single" w:sz="4" w:space="0" w:color="auto"/>
              <w:right w:val="single" w:sz="4" w:space="0" w:color="auto"/>
            </w:tcBorders>
            <w:shd w:val="clear" w:color="auto" w:fill="auto"/>
            <w:vAlign w:val="bottom"/>
            <w:hideMark/>
          </w:tcPr>
          <w:p w:rsidR="00FF01E9" w:rsidRPr="00FF01E9" w:rsidP="00FF01E9" w14:paraId="1FD9A138" w14:textId="77777777">
            <w:pPr>
              <w:widowControl/>
              <w:ind w:firstLine="180" w:firstLineChars="100"/>
              <w:rPr>
                <w:rFonts w:ascii="Arial" w:hAnsi="Arial" w:cs="Arial"/>
                <w:b/>
                <w:bCs/>
                <w:snapToGrid/>
                <w:sz w:val="18"/>
                <w:szCs w:val="18"/>
              </w:rPr>
            </w:pPr>
            <w:r w:rsidRPr="00FF01E9">
              <w:rPr>
                <w:rFonts w:ascii="Arial" w:hAnsi="Arial" w:cs="Arial"/>
                <w:b/>
                <w:bCs/>
                <w:snapToGrid/>
                <w:sz w:val="18"/>
                <w:szCs w:val="18"/>
              </w:rPr>
              <w:t>Total CPS-FSS Respondents</w:t>
            </w:r>
          </w:p>
        </w:tc>
        <w:tc>
          <w:tcPr>
            <w:tcW w:w="900" w:type="dxa"/>
            <w:tcBorders>
              <w:top w:val="nil"/>
              <w:left w:val="nil"/>
              <w:bottom w:val="single" w:sz="4" w:space="0" w:color="auto"/>
              <w:right w:val="single" w:sz="4" w:space="0" w:color="auto"/>
            </w:tcBorders>
            <w:shd w:val="clear" w:color="auto" w:fill="auto"/>
            <w:vAlign w:val="bottom"/>
            <w:hideMark/>
          </w:tcPr>
          <w:p w:rsidR="00FF01E9" w:rsidRPr="00FF01E9" w:rsidP="00FF01E9" w14:paraId="1FD9A139" w14:textId="77777777">
            <w:pPr>
              <w:widowControl/>
              <w:jc w:val="right"/>
              <w:rPr>
                <w:rFonts w:ascii="Arial" w:hAnsi="Arial" w:cs="Arial"/>
                <w:snapToGrid/>
                <w:sz w:val="18"/>
                <w:szCs w:val="18"/>
              </w:rPr>
            </w:pPr>
            <w:r w:rsidRPr="00FF01E9">
              <w:rPr>
                <w:rFonts w:ascii="Arial" w:hAnsi="Arial" w:cs="Arial"/>
                <w:snapToGrid/>
                <w:sz w:val="18"/>
                <w:szCs w:val="18"/>
              </w:rPr>
              <w:t> </w:t>
            </w:r>
          </w:p>
        </w:tc>
        <w:tc>
          <w:tcPr>
            <w:tcW w:w="630" w:type="dxa"/>
            <w:tcBorders>
              <w:top w:val="nil"/>
              <w:left w:val="nil"/>
              <w:bottom w:val="single" w:sz="4" w:space="0" w:color="auto"/>
              <w:right w:val="single" w:sz="4" w:space="0" w:color="auto"/>
            </w:tcBorders>
            <w:shd w:val="clear" w:color="auto" w:fill="auto"/>
            <w:vAlign w:val="bottom"/>
            <w:hideMark/>
          </w:tcPr>
          <w:p w:rsidR="00FF01E9" w:rsidRPr="00FF01E9" w:rsidP="00FF01E9" w14:paraId="1FD9A13A" w14:textId="77777777">
            <w:pPr>
              <w:widowControl/>
              <w:jc w:val="right"/>
              <w:rPr>
                <w:rFonts w:ascii="Arial" w:hAnsi="Arial" w:cs="Arial"/>
                <w:snapToGrid/>
                <w:sz w:val="18"/>
                <w:szCs w:val="18"/>
              </w:rPr>
            </w:pPr>
            <w:r w:rsidRPr="00FF01E9">
              <w:rPr>
                <w:rFonts w:ascii="Arial" w:hAnsi="Arial" w:cs="Arial"/>
                <w:snapToGrid/>
                <w:sz w:val="18"/>
                <w:szCs w:val="18"/>
              </w:rPr>
              <w:t> </w:t>
            </w:r>
          </w:p>
        </w:tc>
        <w:tc>
          <w:tcPr>
            <w:tcW w:w="810" w:type="dxa"/>
            <w:tcBorders>
              <w:top w:val="nil"/>
              <w:left w:val="nil"/>
              <w:bottom w:val="single" w:sz="4" w:space="0" w:color="auto"/>
              <w:right w:val="single" w:sz="4" w:space="0" w:color="auto"/>
            </w:tcBorders>
            <w:shd w:val="clear" w:color="auto" w:fill="auto"/>
            <w:vAlign w:val="bottom"/>
            <w:hideMark/>
          </w:tcPr>
          <w:p w:rsidR="00FF01E9" w:rsidRPr="00FF01E9" w:rsidP="00FF01E9" w14:paraId="1FD9A13B" w14:textId="77777777">
            <w:pPr>
              <w:widowControl/>
              <w:jc w:val="right"/>
              <w:rPr>
                <w:rFonts w:ascii="Arial" w:hAnsi="Arial" w:cs="Arial"/>
                <w:snapToGrid/>
                <w:sz w:val="18"/>
                <w:szCs w:val="18"/>
              </w:rPr>
            </w:pPr>
            <w:r w:rsidRPr="00FF01E9">
              <w:rPr>
                <w:rFonts w:ascii="Arial" w:hAnsi="Arial" w:cs="Arial"/>
                <w:snapToGrid/>
                <w:sz w:val="18"/>
                <w:szCs w:val="18"/>
              </w:rPr>
              <w:t>4</w:t>
            </w:r>
            <w:r w:rsidR="004418FC">
              <w:rPr>
                <w:rFonts w:ascii="Arial" w:hAnsi="Arial" w:cs="Arial"/>
                <w:snapToGrid/>
                <w:sz w:val="18"/>
                <w:szCs w:val="18"/>
              </w:rPr>
              <w:t>1,550</w:t>
            </w:r>
          </w:p>
        </w:tc>
        <w:tc>
          <w:tcPr>
            <w:tcW w:w="810" w:type="dxa"/>
            <w:tcBorders>
              <w:top w:val="nil"/>
              <w:left w:val="nil"/>
              <w:bottom w:val="single" w:sz="4" w:space="0" w:color="auto"/>
              <w:right w:val="single" w:sz="4" w:space="0" w:color="auto"/>
            </w:tcBorders>
            <w:shd w:val="clear" w:color="auto" w:fill="auto"/>
            <w:vAlign w:val="bottom"/>
            <w:hideMark/>
          </w:tcPr>
          <w:p w:rsidR="00FF01E9" w:rsidRPr="00FF01E9" w:rsidP="00FF01E9" w14:paraId="1FD9A13C" w14:textId="77777777">
            <w:pPr>
              <w:widowControl/>
              <w:jc w:val="right"/>
              <w:rPr>
                <w:rFonts w:ascii="Arial" w:hAnsi="Arial" w:cs="Arial"/>
                <w:snapToGrid/>
                <w:sz w:val="18"/>
                <w:szCs w:val="18"/>
              </w:rPr>
            </w:pPr>
            <w:r w:rsidRPr="00FF01E9">
              <w:rPr>
                <w:rFonts w:ascii="Arial" w:hAnsi="Arial" w:cs="Arial"/>
                <w:snapToGrid/>
                <w:sz w:val="18"/>
                <w:szCs w:val="18"/>
              </w:rPr>
              <w:t> </w:t>
            </w:r>
          </w:p>
        </w:tc>
        <w:tc>
          <w:tcPr>
            <w:tcW w:w="720" w:type="dxa"/>
            <w:tcBorders>
              <w:top w:val="nil"/>
              <w:left w:val="nil"/>
              <w:bottom w:val="single" w:sz="4" w:space="0" w:color="auto"/>
              <w:right w:val="single" w:sz="4" w:space="0" w:color="auto"/>
            </w:tcBorders>
            <w:shd w:val="clear" w:color="auto" w:fill="auto"/>
            <w:vAlign w:val="bottom"/>
            <w:hideMark/>
          </w:tcPr>
          <w:p w:rsidR="00FF01E9" w:rsidRPr="00FF01E9" w:rsidP="00FF01E9" w14:paraId="1FD9A13D" w14:textId="77777777">
            <w:pPr>
              <w:widowControl/>
              <w:jc w:val="right"/>
              <w:rPr>
                <w:rFonts w:ascii="Arial" w:hAnsi="Arial" w:cs="Arial"/>
                <w:snapToGrid/>
                <w:sz w:val="18"/>
                <w:szCs w:val="18"/>
              </w:rPr>
            </w:pPr>
            <w:r w:rsidRPr="00FF01E9">
              <w:rPr>
                <w:rFonts w:ascii="Arial" w:hAnsi="Arial" w:cs="Arial"/>
                <w:snapToGrid/>
                <w:sz w:val="18"/>
                <w:szCs w:val="18"/>
              </w:rPr>
              <w:t> </w:t>
            </w:r>
          </w:p>
        </w:tc>
        <w:tc>
          <w:tcPr>
            <w:tcW w:w="900" w:type="dxa"/>
            <w:tcBorders>
              <w:top w:val="nil"/>
              <w:left w:val="nil"/>
              <w:bottom w:val="single" w:sz="4" w:space="0" w:color="auto"/>
              <w:right w:val="single" w:sz="4" w:space="0" w:color="auto"/>
            </w:tcBorders>
            <w:shd w:val="clear" w:color="auto" w:fill="auto"/>
            <w:vAlign w:val="bottom"/>
            <w:hideMark/>
          </w:tcPr>
          <w:p w:rsidR="00FF01E9" w:rsidRPr="00FF01E9" w:rsidP="00FF01E9" w14:paraId="1FD9A13E" w14:textId="77777777">
            <w:pPr>
              <w:widowControl/>
              <w:jc w:val="right"/>
              <w:rPr>
                <w:rFonts w:ascii="Arial" w:hAnsi="Arial" w:cs="Arial"/>
                <w:snapToGrid/>
                <w:sz w:val="18"/>
                <w:szCs w:val="18"/>
              </w:rPr>
            </w:pPr>
            <w:r w:rsidRPr="00FF01E9">
              <w:rPr>
                <w:rFonts w:ascii="Arial" w:hAnsi="Arial" w:cs="Arial"/>
                <w:snapToGrid/>
                <w:sz w:val="18"/>
                <w:szCs w:val="18"/>
              </w:rPr>
              <w:t>6,</w:t>
            </w:r>
            <w:r w:rsidR="00B01BCA">
              <w:rPr>
                <w:rFonts w:ascii="Arial" w:hAnsi="Arial" w:cs="Arial"/>
                <w:snapToGrid/>
                <w:sz w:val="18"/>
                <w:szCs w:val="18"/>
              </w:rPr>
              <w:t>387</w:t>
            </w:r>
          </w:p>
        </w:tc>
        <w:tc>
          <w:tcPr>
            <w:tcW w:w="990" w:type="dxa"/>
            <w:tcBorders>
              <w:top w:val="nil"/>
              <w:left w:val="nil"/>
              <w:bottom w:val="single" w:sz="4" w:space="0" w:color="auto"/>
              <w:right w:val="single" w:sz="4" w:space="0" w:color="auto"/>
            </w:tcBorders>
            <w:shd w:val="clear" w:color="auto" w:fill="auto"/>
            <w:vAlign w:val="bottom"/>
            <w:hideMark/>
          </w:tcPr>
          <w:p w:rsidR="00FF01E9" w:rsidRPr="00FF01E9" w:rsidP="00FF01E9" w14:paraId="1FD9A13F" w14:textId="77777777">
            <w:pPr>
              <w:widowControl/>
              <w:jc w:val="right"/>
              <w:rPr>
                <w:rFonts w:ascii="Arial" w:hAnsi="Arial" w:cs="Arial"/>
                <w:snapToGrid/>
                <w:sz w:val="18"/>
                <w:szCs w:val="18"/>
              </w:rPr>
            </w:pPr>
            <w:r w:rsidRPr="00FF01E9">
              <w:rPr>
                <w:rFonts w:ascii="Arial" w:hAnsi="Arial" w:cs="Arial"/>
                <w:snapToGrid/>
                <w:sz w:val="18"/>
                <w:szCs w:val="18"/>
              </w:rPr>
              <w:t> </w:t>
            </w:r>
          </w:p>
        </w:tc>
        <w:tc>
          <w:tcPr>
            <w:tcW w:w="810" w:type="dxa"/>
            <w:tcBorders>
              <w:top w:val="nil"/>
              <w:left w:val="nil"/>
              <w:bottom w:val="single" w:sz="4" w:space="0" w:color="auto"/>
              <w:right w:val="single" w:sz="4" w:space="0" w:color="auto"/>
            </w:tcBorders>
            <w:shd w:val="clear" w:color="auto" w:fill="auto"/>
            <w:vAlign w:val="bottom"/>
            <w:hideMark/>
          </w:tcPr>
          <w:p w:rsidR="00FF01E9" w:rsidRPr="00FF01E9" w:rsidP="00FF01E9" w14:paraId="1FD9A140" w14:textId="77777777">
            <w:pPr>
              <w:widowControl/>
              <w:jc w:val="right"/>
              <w:rPr>
                <w:rFonts w:ascii="Arial" w:hAnsi="Arial" w:cs="Arial"/>
                <w:snapToGrid/>
                <w:sz w:val="18"/>
                <w:szCs w:val="18"/>
              </w:rPr>
            </w:pPr>
            <w:r w:rsidRPr="00FF01E9">
              <w:rPr>
                <w:rFonts w:ascii="Arial" w:hAnsi="Arial" w:cs="Arial"/>
                <w:snapToGrid/>
                <w:sz w:val="18"/>
                <w:szCs w:val="18"/>
              </w:rPr>
              <w:t> </w:t>
            </w:r>
          </w:p>
        </w:tc>
        <w:tc>
          <w:tcPr>
            <w:tcW w:w="720" w:type="dxa"/>
            <w:tcBorders>
              <w:top w:val="nil"/>
              <w:left w:val="nil"/>
              <w:bottom w:val="single" w:sz="4" w:space="0" w:color="auto"/>
              <w:right w:val="single" w:sz="4" w:space="0" w:color="auto"/>
            </w:tcBorders>
            <w:shd w:val="clear" w:color="auto" w:fill="auto"/>
            <w:vAlign w:val="bottom"/>
            <w:hideMark/>
          </w:tcPr>
          <w:p w:rsidR="00FF01E9" w:rsidRPr="00FF01E9" w:rsidP="00FF01E9" w14:paraId="1FD9A141" w14:textId="77777777">
            <w:pPr>
              <w:widowControl/>
              <w:jc w:val="right"/>
              <w:rPr>
                <w:rFonts w:ascii="Arial" w:hAnsi="Arial" w:cs="Arial"/>
                <w:snapToGrid/>
                <w:sz w:val="18"/>
                <w:szCs w:val="18"/>
              </w:rPr>
            </w:pPr>
            <w:r w:rsidRPr="00FF01E9">
              <w:rPr>
                <w:rFonts w:ascii="Arial" w:hAnsi="Arial" w:cs="Arial"/>
                <w:snapToGrid/>
                <w:sz w:val="18"/>
                <w:szCs w:val="18"/>
              </w:rPr>
              <w:t> </w:t>
            </w:r>
          </w:p>
        </w:tc>
        <w:tc>
          <w:tcPr>
            <w:tcW w:w="900" w:type="dxa"/>
            <w:tcBorders>
              <w:top w:val="nil"/>
              <w:left w:val="nil"/>
              <w:bottom w:val="single" w:sz="4" w:space="0" w:color="auto"/>
              <w:right w:val="single" w:sz="4" w:space="0" w:color="auto"/>
            </w:tcBorders>
            <w:shd w:val="clear" w:color="auto" w:fill="auto"/>
            <w:vAlign w:val="bottom"/>
            <w:hideMark/>
          </w:tcPr>
          <w:p w:rsidR="00FF01E9" w:rsidRPr="00FF01E9" w:rsidP="00FF01E9" w14:paraId="1FD9A142" w14:textId="77777777">
            <w:pPr>
              <w:widowControl/>
              <w:jc w:val="right"/>
              <w:rPr>
                <w:rFonts w:ascii="Arial" w:hAnsi="Arial" w:cs="Arial"/>
                <w:snapToGrid/>
                <w:sz w:val="18"/>
                <w:szCs w:val="18"/>
              </w:rPr>
            </w:pPr>
            <w:r w:rsidRPr="00FF01E9">
              <w:rPr>
                <w:rFonts w:ascii="Arial" w:hAnsi="Arial" w:cs="Arial"/>
                <w:snapToGrid/>
                <w:sz w:val="18"/>
                <w:szCs w:val="18"/>
              </w:rPr>
              <w:t> </w:t>
            </w:r>
          </w:p>
        </w:tc>
        <w:tc>
          <w:tcPr>
            <w:tcW w:w="1530" w:type="dxa"/>
            <w:tcBorders>
              <w:top w:val="nil"/>
              <w:left w:val="nil"/>
              <w:bottom w:val="single" w:sz="4" w:space="0" w:color="auto"/>
              <w:right w:val="single" w:sz="4" w:space="0" w:color="auto"/>
            </w:tcBorders>
            <w:shd w:val="clear" w:color="auto" w:fill="auto"/>
            <w:vAlign w:val="bottom"/>
            <w:hideMark/>
          </w:tcPr>
          <w:p w:rsidR="00FF01E9" w:rsidRPr="00FF01E9" w:rsidP="00FF01E9" w14:paraId="1FD9A143" w14:textId="77777777">
            <w:pPr>
              <w:widowControl/>
              <w:jc w:val="right"/>
              <w:rPr>
                <w:rFonts w:ascii="Arial" w:hAnsi="Arial" w:cs="Arial"/>
                <w:snapToGrid/>
                <w:sz w:val="18"/>
                <w:szCs w:val="18"/>
              </w:rPr>
            </w:pPr>
            <w:r w:rsidRPr="00FF01E9">
              <w:rPr>
                <w:rFonts w:ascii="Arial" w:hAnsi="Arial" w:cs="Arial"/>
                <w:snapToGrid/>
                <w:sz w:val="18"/>
                <w:szCs w:val="18"/>
              </w:rPr>
              <w:t> </w:t>
            </w:r>
          </w:p>
        </w:tc>
        <w:tc>
          <w:tcPr>
            <w:tcW w:w="1680" w:type="dxa"/>
            <w:vAlign w:val="center"/>
            <w:hideMark/>
          </w:tcPr>
          <w:p w:rsidR="00FF01E9" w:rsidRPr="00FF01E9" w:rsidP="00FF01E9" w14:paraId="1FD9A144" w14:textId="77777777">
            <w:pPr>
              <w:widowControl/>
              <w:rPr>
                <w:snapToGrid/>
                <w:sz w:val="20"/>
              </w:rPr>
            </w:pPr>
          </w:p>
        </w:tc>
      </w:tr>
    </w:tbl>
    <w:p w:rsidR="00A45561" w:rsidP="00332103" w14:paraId="1FD9A146" w14:textId="77777777">
      <w:pPr>
        <w:pStyle w:val="Header"/>
        <w:widowControl/>
        <w:tabs>
          <w:tab w:val="clear" w:pos="4320"/>
          <w:tab w:val="clear" w:pos="8640"/>
        </w:tabs>
        <w:sectPr w:rsidSect="00A45561">
          <w:endnotePr>
            <w:numFmt w:val="decimal"/>
          </w:endnotePr>
          <w:pgSz w:w="15840" w:h="12240" w:orient="landscape"/>
          <w:pgMar w:top="1440" w:right="1440" w:bottom="1440" w:left="1440" w:header="2160" w:footer="1440" w:gutter="0"/>
          <w:cols w:space="720"/>
          <w:noEndnote/>
          <w:docGrid w:linePitch="326"/>
        </w:sectPr>
      </w:pPr>
    </w:p>
    <w:p w:rsidR="00332103" w:rsidP="00332103" w14:paraId="1FD9A147" w14:textId="77777777">
      <w:pPr>
        <w:pStyle w:val="Header"/>
        <w:widowControl/>
        <w:tabs>
          <w:tab w:val="clear" w:pos="4320"/>
          <w:tab w:val="clear" w:pos="8640"/>
        </w:tabs>
      </w:pPr>
    </w:p>
    <w:p w:rsidR="00332103" w:rsidRPr="00684532" w:rsidP="00332103" w14:paraId="1FD9A148" w14:textId="77777777">
      <w:pPr>
        <w:tabs>
          <w:tab w:val="left" w:pos="1080"/>
        </w:tabs>
        <w:spacing w:before="100" w:beforeAutospacing="1" w:after="100" w:afterAutospacing="1"/>
        <w:rPr>
          <w:szCs w:val="24"/>
        </w:rPr>
      </w:pPr>
    </w:p>
    <w:p w:rsidR="00332103" w:rsidRPr="00332103" w:rsidP="00332103" w14:paraId="1FD9A149" w14:textId="77777777">
      <w:pPr>
        <w:numPr>
          <w:ilvl w:val="0"/>
          <w:numId w:val="13"/>
        </w:numPr>
        <w:tabs>
          <w:tab w:val="left" w:pos="1080"/>
        </w:tabs>
        <w:spacing w:before="100" w:beforeAutospacing="1" w:after="100" w:afterAutospacing="1"/>
        <w:rPr>
          <w:szCs w:val="24"/>
        </w:rPr>
      </w:pPr>
      <w:r w:rsidRPr="00332103">
        <w:rPr>
          <w:b/>
          <w:bCs/>
          <w:szCs w:val="24"/>
        </w:rPr>
        <w:t>Provide estimates of annualized cost to respondents for the hour burdens for collections of information, identifying and using appropriate wage rate categories.</w:t>
      </w:r>
      <w:r w:rsidRPr="00332103">
        <w:t xml:space="preserve"> </w:t>
      </w:r>
    </w:p>
    <w:p w:rsidR="0067104A" w:rsidRPr="00DB5838" w:rsidP="00DB5838" w14:paraId="1FD9A14A" w14:textId="77777777">
      <w:pPr>
        <w:tabs>
          <w:tab w:val="left" w:pos="1080"/>
        </w:tabs>
        <w:spacing w:before="100" w:beforeAutospacing="1" w:after="100" w:afterAutospacing="1"/>
        <w:ind w:left="1080"/>
      </w:pPr>
      <w:r w:rsidRPr="00862B1D">
        <w:t xml:space="preserve">In this </w:t>
      </w:r>
      <w:r w:rsidR="008C67E3">
        <w:t>s</w:t>
      </w:r>
      <w:r w:rsidRPr="00862B1D">
        <w:t xml:space="preserve">upplement, one respondent will answer for the entire household. No </w:t>
      </w:r>
      <w:r w:rsidRPr="00117AA1">
        <w:t xml:space="preserve">cost other than the respondents’ time is incurred. The annualized cost of the respondents’ time spent answering the </w:t>
      </w:r>
      <w:r w:rsidR="008C67E3">
        <w:t>s</w:t>
      </w:r>
      <w:r w:rsidRPr="00117AA1">
        <w:t xml:space="preserve">upplement questions is </w:t>
      </w:r>
      <w:r w:rsidRPr="000D67F2">
        <w:t>estimated to be $</w:t>
      </w:r>
      <w:r w:rsidR="00095D80">
        <w:t>197,229</w:t>
      </w:r>
      <w:r w:rsidRPr="000D67F2">
        <w:t xml:space="preserve">. Cost of respondents’ time is estimated based on the average hourly </w:t>
      </w:r>
      <w:r w:rsidRPr="000D67F2" w:rsidR="00DB5838">
        <w:t xml:space="preserve">earnings of </w:t>
      </w:r>
      <w:r w:rsidRPr="000D67F2">
        <w:t xml:space="preserve">production and non-supervisory private-sector </w:t>
      </w:r>
      <w:r w:rsidRPr="000D67F2" w:rsidR="00DB5838">
        <w:t xml:space="preserve">employees </w:t>
      </w:r>
      <w:r w:rsidRPr="000D67F2">
        <w:t>($</w:t>
      </w:r>
      <w:r w:rsidR="00142C63">
        <w:t>30.07</w:t>
      </w:r>
      <w:r w:rsidRPr="000D67F2">
        <w:t xml:space="preserve"> per hour in </w:t>
      </w:r>
      <w:r w:rsidRPr="000D67F2" w:rsidR="00416154">
        <w:t>J</w:t>
      </w:r>
      <w:r w:rsidR="00142C63">
        <w:t>une 2024</w:t>
      </w:r>
      <w:r w:rsidRPr="000D67F2" w:rsidR="00117AA1">
        <w:t>, as estimated by the U.S. Bureau of Labor Statistics</w:t>
      </w:r>
      <w:r w:rsidR="00DE6881">
        <w:t xml:space="preserve">; </w:t>
      </w:r>
      <w:hyperlink r:id="rId20" w:history="1">
        <w:r w:rsidRPr="008D11DF" w:rsidR="00DE6881">
          <w:rPr>
            <w:rStyle w:val="Hyperlink"/>
          </w:rPr>
          <w:t>https://data.bls.gov/timeseries/CES0500000008</w:t>
        </w:r>
      </w:hyperlink>
      <w:r w:rsidRPr="000D67F2">
        <w:t xml:space="preserve">) multiplied by the total response time for all respondents </w:t>
      </w:r>
      <w:r w:rsidRPr="000D67F2" w:rsidR="00EF3CDD">
        <w:t xml:space="preserve">and non-respondents </w:t>
      </w:r>
      <w:r w:rsidRPr="000D67F2">
        <w:t>(6,</w:t>
      </w:r>
      <w:r w:rsidR="00095D80">
        <w:t>559</w:t>
      </w:r>
      <w:r w:rsidRPr="000D67F2" w:rsidR="00CE6E28">
        <w:t xml:space="preserve"> </w:t>
      </w:r>
      <w:r w:rsidRPr="000D67F2">
        <w:t>hours)</w:t>
      </w:r>
      <w:r w:rsidR="00A4497F">
        <w:t>.</w:t>
      </w:r>
    </w:p>
    <w:p w:rsidR="000A6098" w14:paraId="1FD9A14B" w14:textId="77777777">
      <w:pPr>
        <w:widowControl/>
        <w:rPr>
          <w:b/>
        </w:rPr>
      </w:pPr>
    </w:p>
    <w:p w:rsidR="00A03563" w14:paraId="1FD9A14C" w14:textId="77777777">
      <w:pPr>
        <w:widowControl/>
        <w:rPr>
          <w:b/>
        </w:rPr>
      </w:pPr>
    </w:p>
    <w:p w:rsidR="000A6098" w:rsidP="007A1CEB" w14:paraId="1FD9A14D" w14:textId="77777777">
      <w:pPr>
        <w:widowControl/>
        <w:ind w:left="720" w:hanging="720"/>
        <w:rPr>
          <w:b/>
        </w:rPr>
      </w:pPr>
      <w:r>
        <w:rPr>
          <w:b/>
        </w:rPr>
        <w:t>13.</w:t>
      </w:r>
      <w:r>
        <w:tab/>
      </w:r>
      <w:r w:rsidRPr="007A1CEB" w:rsidR="007A1CEB">
        <w:rPr>
          <w:b/>
        </w:rPr>
        <w:t>Provide estimates of the total annual cost burden to respondents or record keepers resulting from the collection of information, (do not include the cost of any hour burden shown in items 12 and 14). The cost estimates should be split into two components: (a) a total capital and start-up cost component annualized over its expected useful life; and (b) a total operation and maintenance and purchase of services component.</w:t>
      </w:r>
    </w:p>
    <w:p w:rsidR="000A6098" w14:paraId="1FD9A14E" w14:textId="77777777">
      <w:pPr>
        <w:widowControl/>
      </w:pPr>
    </w:p>
    <w:p w:rsidR="000A6098" w14:paraId="1FD9A14F" w14:textId="77777777">
      <w:pPr>
        <w:widowControl/>
        <w:ind w:left="720"/>
      </w:pPr>
      <w:r w:rsidRPr="007A1CEB">
        <w:t>There are no capital/start-up or ongoing operation/maintenance costs associated with this information collection.</w:t>
      </w:r>
    </w:p>
    <w:p w:rsidR="000A6098" w14:paraId="1FD9A150" w14:textId="77777777">
      <w:pPr>
        <w:widowControl/>
        <w:ind w:left="720"/>
      </w:pPr>
    </w:p>
    <w:p w:rsidR="000A6098" w14:paraId="1FD9A151" w14:textId="77777777">
      <w:pPr>
        <w:widowControl/>
        <w:ind w:left="720"/>
      </w:pPr>
    </w:p>
    <w:p w:rsidR="000A6098" w:rsidP="007A1CEB" w14:paraId="1FD9A152" w14:textId="77777777">
      <w:pPr>
        <w:widowControl/>
        <w:ind w:left="720" w:hanging="720"/>
        <w:rPr>
          <w:b/>
        </w:rPr>
      </w:pPr>
      <w:r>
        <w:rPr>
          <w:b/>
        </w:rPr>
        <w:t xml:space="preserve">14. </w:t>
      </w:r>
      <w:r>
        <w:rPr>
          <w:b/>
        </w:rPr>
        <w:tab/>
      </w:r>
      <w:r w:rsidRPr="007A1CEB" w:rsidR="007A1CEB">
        <w:rPr>
          <w:b/>
        </w:rPr>
        <w:t>Provide estimates of annualized cost to the Federal government. Provide a description of the method used to estimate cost and any other expense that would not have been incurred without this collection of information.</w:t>
      </w:r>
    </w:p>
    <w:p w:rsidR="007A1CEB" w:rsidP="00F472FB" w14:paraId="1FD9A153" w14:textId="77777777">
      <w:pPr>
        <w:spacing w:before="100" w:beforeAutospacing="1" w:after="100" w:afterAutospacing="1"/>
        <w:rPr>
          <w:rFonts w:ascii="Verdana" w:hAnsi="Verdana"/>
          <w:color w:val="FF0000"/>
          <w:sz w:val="17"/>
          <w:szCs w:val="17"/>
        </w:rPr>
      </w:pPr>
    </w:p>
    <w:p w:rsidR="000A6098" w14:paraId="1FD9A154" w14:textId="33F214AB">
      <w:pPr>
        <w:widowControl/>
        <w:ind w:left="720"/>
      </w:pPr>
      <w:r>
        <w:t xml:space="preserve">The cost to the Government of the Current </w:t>
      </w:r>
      <w:r w:rsidRPr="00F95D37">
        <w:t xml:space="preserve">Population Survey program of data collection, to which this </w:t>
      </w:r>
      <w:r w:rsidR="00452E75">
        <w:t>collection is a supplement</w:t>
      </w:r>
      <w:r w:rsidR="00C41D27">
        <w:t xml:space="preserve">, </w:t>
      </w:r>
      <w:r w:rsidRPr="00F95D37">
        <w:t>is borne by the</w:t>
      </w:r>
      <w:r w:rsidR="008C67E3">
        <w:t xml:space="preserve"> U.S.</w:t>
      </w:r>
      <w:r w:rsidRPr="00F95D37">
        <w:t xml:space="preserve"> Census</w:t>
      </w:r>
      <w:r w:rsidR="000202DD">
        <w:t xml:space="preserve"> Bureau</w:t>
      </w:r>
      <w:r w:rsidRPr="00F95D37">
        <w:t>, the Bureau of Labor Statistics, and other Government agencies, if involved</w:t>
      </w:r>
      <w:r>
        <w:t xml:space="preserve">. </w:t>
      </w:r>
      <w:r w:rsidR="00CE6E28">
        <w:t>The cost of the December 202</w:t>
      </w:r>
      <w:r w:rsidR="00510202">
        <w:t>4</w:t>
      </w:r>
      <w:r w:rsidR="00CE6E28">
        <w:t xml:space="preserve"> Food Security Supplement was </w:t>
      </w:r>
      <w:r w:rsidR="00946D29">
        <w:t>$</w:t>
      </w:r>
      <w:r w:rsidR="00AF585D">
        <w:t>1,058,692</w:t>
      </w:r>
      <w:r w:rsidR="00946D29">
        <w:t xml:space="preserve">. </w:t>
      </w:r>
      <w:r w:rsidR="00F602D4">
        <w:t xml:space="preserve">This total cost </w:t>
      </w:r>
      <w:r w:rsidR="002A16A2">
        <w:t>includ</w:t>
      </w:r>
      <w:r w:rsidR="00F602D4">
        <w:t>e</w:t>
      </w:r>
      <w:r w:rsidR="00031B24">
        <w:t>s</w:t>
      </w:r>
      <w:r w:rsidR="002A16A2">
        <w:t xml:space="preserve"> related development costs</w:t>
      </w:r>
      <w:r w:rsidR="004E1E11">
        <w:t xml:space="preserve">, </w:t>
      </w:r>
      <w:r w:rsidR="002A16A2">
        <w:t>public-use data provision</w:t>
      </w:r>
      <w:r w:rsidR="00AA2947">
        <w:t xml:space="preserve"> </w:t>
      </w:r>
      <w:r>
        <w:t>costs</w:t>
      </w:r>
      <w:r w:rsidR="004E1E11">
        <w:t>,</w:t>
      </w:r>
      <w:r w:rsidR="00F05CCF">
        <w:t xml:space="preserve"> as well as a nonresponse bias analysis report on the data</w:t>
      </w:r>
      <w:r>
        <w:t>.</w:t>
      </w:r>
      <w:r w:rsidR="004E1E11">
        <w:t xml:space="preserve"> It also includes a one-time cost for Census to study and implement new survey weighting methodology for the food security supplement.</w:t>
      </w:r>
      <w:r>
        <w:t xml:space="preserve"> This cost is borne by ERS and supported through an interagency transfer to the </w:t>
      </w:r>
      <w:r w:rsidR="008C67E3">
        <w:t xml:space="preserve">U.S. </w:t>
      </w:r>
      <w:r>
        <w:t>Census Bureau.</w:t>
      </w:r>
    </w:p>
    <w:p w:rsidR="000A6098" w14:paraId="1FD9A155" w14:textId="77777777">
      <w:pPr>
        <w:widowControl/>
      </w:pPr>
    </w:p>
    <w:p w:rsidR="000A6098" w14:paraId="1FD9A156" w14:textId="77777777">
      <w:pPr>
        <w:widowControl/>
      </w:pPr>
    </w:p>
    <w:p w:rsidR="000A6098" w:rsidRPr="009C0CB1" w:rsidP="007A1CEB" w14:paraId="1FD9A157" w14:textId="77777777">
      <w:pPr>
        <w:keepNext/>
        <w:widowControl/>
        <w:ind w:left="720" w:hanging="720"/>
        <w:rPr>
          <w:b/>
        </w:rPr>
      </w:pPr>
      <w:r w:rsidRPr="009C0CB1">
        <w:rPr>
          <w:b/>
        </w:rPr>
        <w:t xml:space="preserve">15. </w:t>
      </w:r>
      <w:r w:rsidRPr="009C0CB1">
        <w:rPr>
          <w:b/>
        </w:rPr>
        <w:tab/>
      </w:r>
      <w:r w:rsidRPr="007A1CEB" w:rsidR="007A1CEB">
        <w:rPr>
          <w:b/>
        </w:rPr>
        <w:t>Explain the reasons for any program changes or adjustments reported in Items 13 or 14 of the OMB Form 83-1.</w:t>
      </w:r>
    </w:p>
    <w:p w:rsidR="000A6098" w:rsidRPr="009C0CB1" w14:paraId="1FD9A158" w14:textId="77777777">
      <w:pPr>
        <w:keepNext/>
        <w:widowControl/>
      </w:pPr>
    </w:p>
    <w:p w:rsidR="005E6386" w14:paraId="1FD9A159" w14:textId="77777777">
      <w:pPr>
        <w:widowControl/>
        <w:tabs>
          <w:tab w:val="left" w:pos="-1440"/>
        </w:tabs>
        <w:ind w:left="720" w:hanging="720"/>
      </w:pPr>
      <w:r w:rsidRPr="009C0CB1">
        <w:t xml:space="preserve"> </w:t>
      </w:r>
      <w:r w:rsidRPr="009C0CB1">
        <w:tab/>
        <w:t xml:space="preserve">Total estimated burden for the December </w:t>
      </w:r>
      <w:r w:rsidR="00946D29">
        <w:t>202</w:t>
      </w:r>
      <w:r w:rsidR="00800C6B">
        <w:t>5</w:t>
      </w:r>
      <w:r w:rsidRPr="009C0CB1" w:rsidR="00946D29">
        <w:t xml:space="preserve"> </w:t>
      </w:r>
      <w:r w:rsidRPr="009C0CB1">
        <w:t xml:space="preserve">supplement is </w:t>
      </w:r>
      <w:r w:rsidR="00416154">
        <w:t xml:space="preserve">somewhat </w:t>
      </w:r>
      <w:r w:rsidR="00EF3CDD">
        <w:t>higher</w:t>
      </w:r>
      <w:r w:rsidRPr="009C0CB1" w:rsidR="00EF3CDD">
        <w:t xml:space="preserve"> </w:t>
      </w:r>
      <w:r w:rsidRPr="009C0CB1" w:rsidR="00866438">
        <w:t xml:space="preserve">(by </w:t>
      </w:r>
      <w:r w:rsidR="00487F4A">
        <w:t>80</w:t>
      </w:r>
      <w:r w:rsidRPr="009C0CB1" w:rsidR="00EF3CDD">
        <w:t xml:space="preserve"> </w:t>
      </w:r>
      <w:r w:rsidRPr="009C0CB1" w:rsidR="00866438">
        <w:t>hours</w:t>
      </w:r>
      <w:r w:rsidRPr="009C0CB1" w:rsidR="00A82899">
        <w:t xml:space="preserve"> or </w:t>
      </w:r>
      <w:r w:rsidR="00487F4A">
        <w:t>1.2</w:t>
      </w:r>
      <w:r w:rsidRPr="009C0CB1" w:rsidR="00A82899">
        <w:t xml:space="preserve"> percent</w:t>
      </w:r>
      <w:r w:rsidRPr="009C0CB1" w:rsidR="00866438">
        <w:t xml:space="preserve">) </w:t>
      </w:r>
      <w:r w:rsidRPr="009C0CB1">
        <w:t>than that estimated in th</w:t>
      </w:r>
      <w:r w:rsidR="00EF5A8D">
        <w:t>e previous submission for this s</w:t>
      </w:r>
      <w:r w:rsidRPr="009C0CB1">
        <w:t>upplement (</w:t>
      </w:r>
      <w:r w:rsidR="00EF5A8D">
        <w:t xml:space="preserve">submitted in </w:t>
      </w:r>
      <w:r w:rsidR="00DA2000">
        <w:t>20</w:t>
      </w:r>
      <w:r w:rsidR="00E07F89">
        <w:t>22</w:t>
      </w:r>
      <w:r w:rsidRPr="009C0CB1">
        <w:t>)</w:t>
      </w:r>
      <w:r w:rsidRPr="009C0CB1" w:rsidR="00E8332F">
        <w:t xml:space="preserve">. </w:t>
      </w:r>
      <w:r w:rsidR="004A552A">
        <w:t>The slight adjustment is due to differences in how the burden estimates were calculated</w:t>
      </w:r>
      <w:r w:rsidR="00487F4A">
        <w:t xml:space="preserve"> and changes in typical respondent behavior to the new instrument (implemented in 2022)</w:t>
      </w:r>
      <w:r w:rsidR="004A552A">
        <w:t xml:space="preserve">. </w:t>
      </w:r>
      <w:r w:rsidR="00246E05">
        <w:t xml:space="preserve">When compared to burden calculations for the previous submission, burden calculations for the current submission </w:t>
      </w:r>
      <w:r w:rsidR="009278FB">
        <w:t>assume</w:t>
      </w:r>
      <w:r w:rsidR="00246E05">
        <w:t xml:space="preserve"> that higher income households screened out and households with no children, on average, responded to </w:t>
      </w:r>
      <w:r w:rsidR="004E7041">
        <w:t>two</w:t>
      </w:r>
      <w:r w:rsidR="00246E05">
        <w:t xml:space="preserve"> additional question</w:t>
      </w:r>
      <w:r w:rsidR="004E7041">
        <w:t>s</w:t>
      </w:r>
      <w:r w:rsidR="00246E05">
        <w:t>.</w:t>
      </w:r>
      <w:r w:rsidR="004E7041">
        <w:t xml:space="preserve"> In addition, the new burden calculations also assume households with children, on average, responded to one additional question.</w:t>
      </w:r>
      <w:r w:rsidR="004A552A">
        <w:t xml:space="preserve"> The calculations also assume an 80 percent response rate (or 20 percent nonresponse), while actual recent response rates have been lower</w:t>
      </w:r>
      <w:r w:rsidR="0034532F">
        <w:t xml:space="preserve"> (average supplement response rate for 2017-2019 and 2021-22 is 73 percent)</w:t>
      </w:r>
      <w:r w:rsidR="004A552A">
        <w:t>. Thus</w:t>
      </w:r>
      <w:r w:rsidR="00A4497F">
        <w:t>,</w:t>
      </w:r>
      <w:r w:rsidR="004A552A">
        <w:t xml:space="preserve"> the </w:t>
      </w:r>
      <w:r w:rsidR="008A3F84">
        <w:t xml:space="preserve">assumptions of the </w:t>
      </w:r>
      <w:r w:rsidR="002734F9">
        <w:t xml:space="preserve">burden </w:t>
      </w:r>
      <w:r w:rsidR="004A552A">
        <w:t xml:space="preserve">estimates represent the highest likely </w:t>
      </w:r>
      <w:r w:rsidR="008A3F84">
        <w:t xml:space="preserve">possible </w:t>
      </w:r>
      <w:r w:rsidR="004A552A">
        <w:t>burden</w:t>
      </w:r>
      <w:r w:rsidR="008A3F84">
        <w:t>.</w:t>
      </w:r>
      <w:r w:rsidR="004A552A">
        <w:t xml:space="preserve"> </w:t>
      </w:r>
      <w:r w:rsidR="00BF0182">
        <w:t xml:space="preserve">A change in average incomes or </w:t>
      </w:r>
      <w:r w:rsidR="000431C4">
        <w:t xml:space="preserve">National </w:t>
      </w:r>
      <w:r w:rsidR="00BF0182">
        <w:t>economic conditions,</w:t>
      </w:r>
      <w:r w:rsidR="000431C4">
        <w:t xml:space="preserve"> could result in a change in actual burden for future supplements.</w:t>
      </w:r>
      <w:r w:rsidR="00BF0182">
        <w:t xml:space="preserve"> </w:t>
      </w:r>
    </w:p>
    <w:p w:rsidR="00BE2599" w14:paraId="1FD9A15A" w14:textId="77777777">
      <w:pPr>
        <w:widowControl/>
        <w:tabs>
          <w:tab w:val="left" w:pos="-1440"/>
        </w:tabs>
        <w:ind w:left="720" w:hanging="720"/>
      </w:pPr>
    </w:p>
    <w:p w:rsidR="005E6386" w:rsidP="7B85C35A" w14:paraId="1FD9A15B" w14:textId="77777777">
      <w:pPr>
        <w:widowControl/>
        <w:ind w:left="720" w:hanging="720"/>
      </w:pPr>
      <w:r>
        <w:tab/>
        <w:t xml:space="preserve">The </w:t>
      </w:r>
      <w:r w:rsidR="00103CA2">
        <w:t xml:space="preserve">cost of the </w:t>
      </w:r>
      <w:r w:rsidR="00AC79AE">
        <w:t>202</w:t>
      </w:r>
      <w:r w:rsidR="00E07F89">
        <w:t>4</w:t>
      </w:r>
      <w:r w:rsidR="00AC79AE">
        <w:t xml:space="preserve"> CPS </w:t>
      </w:r>
      <w:r w:rsidR="008C67E3">
        <w:t>F</w:t>
      </w:r>
      <w:r w:rsidR="00103CA2">
        <w:t xml:space="preserve">ood </w:t>
      </w:r>
      <w:r w:rsidR="008C67E3">
        <w:t>S</w:t>
      </w:r>
      <w:r w:rsidR="00103CA2">
        <w:t xml:space="preserve">ecurity </w:t>
      </w:r>
      <w:r w:rsidR="008C67E3">
        <w:t>S</w:t>
      </w:r>
      <w:r w:rsidRPr="000D67F2" w:rsidR="00103CA2">
        <w:t>upplement increased (by $</w:t>
      </w:r>
      <w:r w:rsidR="00E07F89">
        <w:t>348,692</w:t>
      </w:r>
      <w:r w:rsidRPr="000D67F2" w:rsidR="00103CA2">
        <w:t xml:space="preserve"> or about </w:t>
      </w:r>
      <w:r w:rsidR="00E07F89">
        <w:t>49</w:t>
      </w:r>
      <w:r w:rsidRPr="000D67F2" w:rsidR="009D5B00">
        <w:t xml:space="preserve"> </w:t>
      </w:r>
      <w:r w:rsidRPr="000D67F2" w:rsidR="00103CA2">
        <w:t>percent) from</w:t>
      </w:r>
      <w:r w:rsidR="00103CA2">
        <w:t xml:space="preserve"> the previous submission</w:t>
      </w:r>
      <w:r w:rsidR="00AC79AE">
        <w:t xml:space="preserve"> in 20</w:t>
      </w:r>
      <w:r w:rsidR="00E07F89">
        <w:t>22</w:t>
      </w:r>
      <w:r w:rsidR="004E1E11">
        <w:t xml:space="preserve"> for the 2021 data collection</w:t>
      </w:r>
      <w:r w:rsidR="00103CA2">
        <w:t>. This change was due to the increased costs of conducting surveys</w:t>
      </w:r>
      <w:r w:rsidR="00E07F89">
        <w:t xml:space="preserve"> and ERS’s request for the U.S. Census Bureau to produce annual nonresponse bias reports for the CPS Food Security Supplement</w:t>
      </w:r>
      <w:r w:rsidR="004E1E11">
        <w:t xml:space="preserve"> as well as to study and implement new survey weighting methodology for the supplement</w:t>
      </w:r>
      <w:r w:rsidR="00103CA2">
        <w:t>.</w:t>
      </w:r>
    </w:p>
    <w:p w:rsidR="000A6098" w14:paraId="1FD9A15C" w14:textId="77777777">
      <w:pPr>
        <w:widowControl/>
        <w:tabs>
          <w:tab w:val="left" w:pos="-1440"/>
        </w:tabs>
        <w:ind w:left="720" w:hanging="720"/>
      </w:pPr>
      <w:r>
        <w:tab/>
      </w:r>
      <w:r w:rsidR="000A616C">
        <w:t xml:space="preserve"> </w:t>
      </w:r>
    </w:p>
    <w:p w:rsidR="000A6098" w14:paraId="1FD9A15D" w14:textId="77777777">
      <w:pPr>
        <w:widowControl/>
        <w:tabs>
          <w:tab w:val="left" w:pos="-1440"/>
        </w:tabs>
        <w:ind w:left="720" w:hanging="720"/>
        <w:rPr>
          <w:b/>
        </w:rPr>
      </w:pPr>
    </w:p>
    <w:p w:rsidR="000A6098" w:rsidP="00155445" w14:paraId="1FD9A15E" w14:textId="77777777">
      <w:pPr>
        <w:keepLines/>
        <w:ind w:left="720" w:hanging="720"/>
      </w:pPr>
      <w:r>
        <w:rPr>
          <w:b/>
        </w:rPr>
        <w:t xml:space="preserve">16. </w:t>
      </w:r>
      <w:r>
        <w:rPr>
          <w:b/>
        </w:rPr>
        <w:tab/>
      </w:r>
      <w:r w:rsidRPr="00155445" w:rsidR="00155445">
        <w:rPr>
          <w:b/>
        </w:rPr>
        <w:t>For collections of information whose results are planned to be published, outline plans for tabulation and publication</w:t>
      </w:r>
      <w:r w:rsidR="00155445">
        <w:rPr>
          <w:b/>
        </w:rPr>
        <w:t>.</w:t>
      </w:r>
      <w:r>
        <w:t xml:space="preserve"> </w:t>
      </w:r>
    </w:p>
    <w:p w:rsidR="000A6098" w:rsidP="000C4688" w14:paraId="1FD9A15F" w14:textId="77777777">
      <w:pPr>
        <w:keepLines/>
      </w:pPr>
    </w:p>
    <w:p w:rsidR="000A6098" w:rsidP="000C4688" w14:paraId="1FD9A160" w14:textId="45E9AEDC">
      <w:pPr>
        <w:pStyle w:val="BodyTextIndent"/>
        <w:keepLines/>
        <w:widowControl w:val="0"/>
      </w:pPr>
      <w:r>
        <w:t xml:space="preserve">The December CPS, of which this </w:t>
      </w:r>
      <w:r w:rsidR="008C67E3">
        <w:t>s</w:t>
      </w:r>
      <w:r>
        <w:t>upplement is a part, will be conducted during the second week of December each year. Processing of th</w:t>
      </w:r>
      <w:r w:rsidR="00DF40AE">
        <w:t>e</w:t>
      </w:r>
      <w:r>
        <w:t xml:space="preserve"> </w:t>
      </w:r>
      <w:r w:rsidR="008C67E3">
        <w:t>s</w:t>
      </w:r>
      <w:r>
        <w:t xml:space="preserve">upplement </w:t>
      </w:r>
      <w:r w:rsidR="00155445">
        <w:t xml:space="preserve">data by the Census Bureau </w:t>
      </w:r>
      <w:r>
        <w:t xml:space="preserve">will </w:t>
      </w:r>
      <w:r w:rsidR="00452E75">
        <w:t>begin</w:t>
      </w:r>
      <w:r>
        <w:t xml:space="preserve"> in December</w:t>
      </w:r>
      <w:r w:rsidR="00DF40AE">
        <w:t>, and t</w:t>
      </w:r>
      <w:r>
        <w:t xml:space="preserve">he </w:t>
      </w:r>
      <w:r w:rsidR="00452E75">
        <w:t xml:space="preserve">edited and de-identified </w:t>
      </w:r>
      <w:r>
        <w:t>data will be released to ERS in mid</w:t>
      </w:r>
      <w:r>
        <w:noBreakHyphen/>
        <w:t>April. Publication of the annual food security report by ERS</w:t>
      </w:r>
      <w:r w:rsidR="00DF40AE">
        <w:t xml:space="preserve"> and release of p</w:t>
      </w:r>
      <w:r>
        <w:t xml:space="preserve">ublic-use data files by the Census Bureau </w:t>
      </w:r>
      <w:r w:rsidR="00DF40AE">
        <w:t>are</w:t>
      </w:r>
      <w:r w:rsidR="00AF101A">
        <w:t xml:space="preserve"> </w:t>
      </w:r>
      <w:r w:rsidRPr="00AF101A" w:rsidR="00AF101A">
        <w:t>typically scheduled for early September, about nine months after collection of the data, with the exception of years when changes to the survey were made such as the 2022 changes</w:t>
      </w:r>
      <w:r w:rsidR="001B1B38">
        <w:t>.</w:t>
      </w:r>
      <w:r w:rsidR="00DF40AE">
        <w:t xml:space="preserve"> </w:t>
      </w:r>
      <w:r>
        <w:t xml:space="preserve"> </w:t>
      </w:r>
    </w:p>
    <w:p w:rsidR="000A6098" w14:paraId="1FD9A161" w14:textId="77777777">
      <w:pPr>
        <w:widowControl/>
      </w:pPr>
    </w:p>
    <w:p w:rsidR="000A6098" w14:paraId="1FD9A162" w14:textId="77777777">
      <w:pPr>
        <w:widowControl/>
        <w:rPr>
          <w:b/>
        </w:rPr>
      </w:pPr>
    </w:p>
    <w:p w:rsidR="000A6098" w:rsidP="00426E56" w14:paraId="1FD9A163" w14:textId="77777777">
      <w:pPr>
        <w:widowControl/>
        <w:ind w:left="720" w:hanging="720"/>
        <w:rPr>
          <w:b/>
        </w:rPr>
      </w:pPr>
      <w:r>
        <w:rPr>
          <w:b/>
        </w:rPr>
        <w:t xml:space="preserve">17. </w:t>
      </w:r>
      <w:r>
        <w:rPr>
          <w:b/>
        </w:rPr>
        <w:tab/>
      </w:r>
      <w:r w:rsidRPr="00426E56" w:rsidR="00426E56">
        <w:rPr>
          <w:b/>
        </w:rPr>
        <w:t>If seeking approval to not display the expiration date for OMB approval of the information collection, explain the reasons that display would be inappropriate.</w:t>
      </w:r>
    </w:p>
    <w:p w:rsidR="000A6098" w14:paraId="1FD9A164" w14:textId="77777777">
      <w:pPr>
        <w:widowControl/>
      </w:pPr>
    </w:p>
    <w:p w:rsidR="000A6098" w14:paraId="1FD9A165" w14:textId="77777777">
      <w:pPr>
        <w:widowControl/>
        <w:ind w:left="720"/>
      </w:pPr>
      <w:r>
        <w:t xml:space="preserve">The Current Population Survey, of which this is a supplement, does </w:t>
      </w:r>
      <w:r>
        <w:t xml:space="preserve">not display the assigned expiration date of the information collection because the instrument is </w:t>
      </w:r>
      <w:r>
        <w:t xml:space="preserve">automated and the respondent, therefore, would never see the date. Instead, the OMB control number for the CPS </w:t>
      </w:r>
      <w:r>
        <w:t xml:space="preserve">is included </w:t>
      </w:r>
      <w:r>
        <w:t xml:space="preserve">in the survey's advance letter. (See Attachment </w:t>
      </w:r>
      <w:r w:rsidR="00FE2346">
        <w:t>E</w:t>
      </w:r>
      <w:r>
        <w:t>)</w:t>
      </w:r>
    </w:p>
    <w:p w:rsidR="000A6098" w14:paraId="1FD9A166" w14:textId="77777777">
      <w:pPr>
        <w:widowControl/>
      </w:pPr>
    </w:p>
    <w:p w:rsidR="000A6098" w14:paraId="1FD9A167" w14:textId="77777777">
      <w:pPr>
        <w:widowControl/>
        <w:rPr>
          <w:b/>
        </w:rPr>
      </w:pPr>
    </w:p>
    <w:p w:rsidR="000A6098" w:rsidP="00A03563" w14:paraId="1FD9A168" w14:textId="77777777">
      <w:pPr>
        <w:widowControl/>
        <w:ind w:left="720" w:hanging="720"/>
      </w:pPr>
      <w:r>
        <w:rPr>
          <w:b/>
        </w:rPr>
        <w:t xml:space="preserve">18. </w:t>
      </w:r>
      <w:r>
        <w:rPr>
          <w:b/>
        </w:rPr>
        <w:tab/>
      </w:r>
      <w:r w:rsidRPr="00A03563" w:rsidR="00A03563">
        <w:rPr>
          <w:b/>
        </w:rPr>
        <w:t>Explain each exception to the certification statement identified in Item 19 "Certification for Paperwork Reduction Act."</w:t>
      </w:r>
    </w:p>
    <w:p w:rsidR="000A6098" w14:paraId="1FD9A169" w14:textId="77777777">
      <w:pPr>
        <w:widowControl/>
      </w:pPr>
    </w:p>
    <w:p w:rsidR="000A6098" w:rsidP="00A03563" w14:paraId="1FD9A16A" w14:textId="77777777">
      <w:pPr>
        <w:widowControl/>
        <w:ind w:left="720"/>
      </w:pPr>
      <w:r w:rsidRPr="00A03563">
        <w:t xml:space="preserve">The agency </w:t>
      </w:r>
      <w:r w:rsidR="009278FB">
        <w:t>can</w:t>
      </w:r>
      <w:r w:rsidRPr="00A03563">
        <w:t xml:space="preserve"> certify compliance with all provisions under Item 19 of OMB Form 83-I.</w:t>
      </w:r>
    </w:p>
    <w:p w:rsidR="00A03563" w:rsidP="00A03563" w14:paraId="1FD9A16B" w14:textId="77777777">
      <w:pPr>
        <w:widowControl/>
        <w:ind w:left="720"/>
      </w:pPr>
    </w:p>
    <w:p w:rsidR="00A03563" w:rsidP="00A03563" w14:paraId="1FD9A16C" w14:textId="77777777">
      <w:pPr>
        <w:widowControl/>
        <w:ind w:left="720"/>
      </w:pPr>
    </w:p>
    <w:p w:rsidR="00AA2947" w:rsidP="00BC717D" w14:paraId="1FD9A16D" w14:textId="77777777">
      <w:pPr>
        <w:widowControl/>
        <w:rPr>
          <w:b/>
        </w:rPr>
      </w:pPr>
    </w:p>
    <w:sectPr w:rsidSect="00A45561">
      <w:endnotePr>
        <w:numFmt w:val="decimal"/>
      </w:endnotePr>
      <w:pgSz w:w="12240" w:h="15840"/>
      <w:pgMar w:top="1440" w:right="1440" w:bottom="1440" w:left="1440" w:header="2160" w:footer="144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17296" w14:paraId="1FD9A172" w14:textId="77777777">
    <w:pPr>
      <w:pStyle w:val="Footer"/>
      <w:jc w:val="center"/>
    </w:pPr>
    <w:r>
      <w:fldChar w:fldCharType="begin"/>
    </w:r>
    <w:r>
      <w:instrText xml:space="preserve"> PAGE   \* MERGEFORMAT </w:instrText>
    </w:r>
    <w:r>
      <w:fldChar w:fldCharType="separate"/>
    </w:r>
    <w:r w:rsidR="00874625">
      <w:rPr>
        <w:noProof/>
      </w:rPr>
      <w:t>18</w:t>
    </w:r>
    <w:r>
      <w:rPr>
        <w:noProof/>
      </w:rPr>
      <w:fldChar w:fldCharType="end"/>
    </w:r>
  </w:p>
  <w:p w:rsidR="00A17296" w14:paraId="1FD9A173"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B6A0DD2"/>
    <w:multiLevelType w:val="hybridMultilevel"/>
    <w:tmpl w:val="0E74B720"/>
    <w:lvl w:ilvl="0">
      <w:start w:val="1"/>
      <w:numFmt w:val="decimal"/>
      <w:lvlText w:val="%1."/>
      <w:lvlJc w:val="left"/>
      <w:pPr>
        <w:ind w:left="1080" w:hanging="720"/>
      </w:pPr>
      <w:rPr>
        <w:rFonts w:ascii="Times New Roman" w:hAnsi="Times New Roman" w:cs="Times New Roman" w:hint="default"/>
        <w:sz w:val="24"/>
        <w:szCs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D545AC2"/>
    <w:multiLevelType w:val="multilevel"/>
    <w:tmpl w:val="1D662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EAD0EBF"/>
    <w:multiLevelType w:val="singleLevel"/>
    <w:tmpl w:val="67744A8A"/>
    <w:lvl w:ilvl="0">
      <w:start w:val="1"/>
      <w:numFmt w:val="bullet"/>
      <w:lvlText w:val=""/>
      <w:lvlJc w:val="left"/>
      <w:pPr>
        <w:tabs>
          <w:tab w:val="num" w:pos="360"/>
        </w:tabs>
        <w:ind w:left="360" w:hanging="360"/>
      </w:pPr>
      <w:rPr>
        <w:rFonts w:ascii="Symbol" w:hAnsi="Symbol" w:hint="default"/>
        <w:b w:val="0"/>
        <w:i w:val="0"/>
        <w:sz w:val="24"/>
      </w:rPr>
    </w:lvl>
  </w:abstractNum>
  <w:abstractNum w:abstractNumId="3">
    <w:nsid w:val="32897A09"/>
    <w:multiLevelType w:val="multilevel"/>
    <w:tmpl w:val="DCD6B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4F13BF8"/>
    <w:multiLevelType w:val="singleLevel"/>
    <w:tmpl w:val="0409000F"/>
    <w:lvl w:ilvl="0">
      <w:start w:val="1"/>
      <w:numFmt w:val="decimal"/>
      <w:lvlText w:val="%1."/>
      <w:lvlJc w:val="left"/>
      <w:pPr>
        <w:tabs>
          <w:tab w:val="num" w:pos="360"/>
        </w:tabs>
        <w:ind w:left="360" w:hanging="360"/>
      </w:pPr>
    </w:lvl>
  </w:abstractNum>
  <w:abstractNum w:abstractNumId="5">
    <w:nsid w:val="3FF7190E"/>
    <w:multiLevelType w:val="hybridMultilevel"/>
    <w:tmpl w:val="BDC6C8DE"/>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6">
    <w:nsid w:val="452E3196"/>
    <w:multiLevelType w:val="hybridMultilevel"/>
    <w:tmpl w:val="A1248F7C"/>
    <w:lvl w:ilvl="0">
      <w:start w:val="1"/>
      <w:numFmt w:val="upp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7">
    <w:nsid w:val="50076772"/>
    <w:multiLevelType w:val="singleLevel"/>
    <w:tmpl w:val="75CA4014"/>
    <w:lvl w:ilvl="0">
      <w:start w:val="2"/>
      <w:numFmt w:val="upperLetter"/>
      <w:lvlText w:val="%1."/>
      <w:lvlJc w:val="left"/>
      <w:pPr>
        <w:tabs>
          <w:tab w:val="num" w:pos="720"/>
        </w:tabs>
        <w:ind w:left="720" w:hanging="720"/>
      </w:pPr>
      <w:rPr>
        <w:rFonts w:hint="default"/>
      </w:rPr>
    </w:lvl>
  </w:abstractNum>
  <w:abstractNum w:abstractNumId="8">
    <w:nsid w:val="606C62FE"/>
    <w:multiLevelType w:val="singleLevel"/>
    <w:tmpl w:val="E84A2378"/>
    <w:lvl w:ilvl="0">
      <w:start w:val="1"/>
      <w:numFmt w:val="upperLetter"/>
      <w:lvlText w:val="%1."/>
      <w:lvlJc w:val="left"/>
      <w:pPr>
        <w:tabs>
          <w:tab w:val="num" w:pos="720"/>
        </w:tabs>
        <w:ind w:left="720" w:hanging="720"/>
      </w:pPr>
      <w:rPr>
        <w:rFonts w:hint="default"/>
      </w:rPr>
    </w:lvl>
  </w:abstractNum>
  <w:abstractNum w:abstractNumId="9">
    <w:nsid w:val="6716155C"/>
    <w:multiLevelType w:val="multilevel"/>
    <w:tmpl w:val="519C3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9FC2E39"/>
    <w:multiLevelType w:val="multilevel"/>
    <w:tmpl w:val="0D1098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E8543D1"/>
    <w:multiLevelType w:val="hybridMultilevel"/>
    <w:tmpl w:val="E026B94A"/>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2">
    <w:nsid w:val="7CE37547"/>
    <w:multiLevelType w:val="hybridMultilevel"/>
    <w:tmpl w:val="34DAE71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575818893">
    <w:abstractNumId w:val="7"/>
  </w:num>
  <w:num w:numId="2" w16cid:durableId="239295145">
    <w:abstractNumId w:val="8"/>
  </w:num>
  <w:num w:numId="3" w16cid:durableId="1332416943">
    <w:abstractNumId w:val="4"/>
  </w:num>
  <w:num w:numId="4" w16cid:durableId="429741126">
    <w:abstractNumId w:val="2"/>
  </w:num>
  <w:num w:numId="5" w16cid:durableId="1418869911">
    <w:abstractNumId w:val="11"/>
  </w:num>
  <w:num w:numId="6" w16cid:durableId="502159695">
    <w:abstractNumId w:val="12"/>
  </w:num>
  <w:num w:numId="7" w16cid:durableId="1808274950">
    <w:abstractNumId w:val="0"/>
  </w:num>
  <w:num w:numId="8" w16cid:durableId="204800615">
    <w:abstractNumId w:val="9"/>
  </w:num>
  <w:num w:numId="9" w16cid:durableId="1265961672">
    <w:abstractNumId w:val="1"/>
  </w:num>
  <w:num w:numId="10" w16cid:durableId="1060248796">
    <w:abstractNumId w:val="10"/>
  </w:num>
  <w:num w:numId="11" w16cid:durableId="1266645854">
    <w:abstractNumId w:val="3"/>
  </w:num>
  <w:num w:numId="12" w16cid:durableId="312032266">
    <w:abstractNumId w:val="5"/>
  </w:num>
  <w:num w:numId="13" w16cid:durableId="27285830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SystemFont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endnotePr>
    <w:numFmt w:val="decimal"/>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4C9"/>
    <w:rsid w:val="000007D9"/>
    <w:rsid w:val="0000387A"/>
    <w:rsid w:val="00004A5B"/>
    <w:rsid w:val="00005D06"/>
    <w:rsid w:val="00006E39"/>
    <w:rsid w:val="000071C5"/>
    <w:rsid w:val="00007EB6"/>
    <w:rsid w:val="00010019"/>
    <w:rsid w:val="00013D0E"/>
    <w:rsid w:val="00015D57"/>
    <w:rsid w:val="00017501"/>
    <w:rsid w:val="000202DD"/>
    <w:rsid w:val="00020608"/>
    <w:rsid w:val="00025462"/>
    <w:rsid w:val="00025F3E"/>
    <w:rsid w:val="00027A6C"/>
    <w:rsid w:val="00031B24"/>
    <w:rsid w:val="0003587F"/>
    <w:rsid w:val="000370D8"/>
    <w:rsid w:val="00041962"/>
    <w:rsid w:val="00043117"/>
    <w:rsid w:val="000431C4"/>
    <w:rsid w:val="00046355"/>
    <w:rsid w:val="000514D0"/>
    <w:rsid w:val="00053AA1"/>
    <w:rsid w:val="00057287"/>
    <w:rsid w:val="00060301"/>
    <w:rsid w:val="00061D0D"/>
    <w:rsid w:val="00065F11"/>
    <w:rsid w:val="00066C84"/>
    <w:rsid w:val="000725A7"/>
    <w:rsid w:val="00073564"/>
    <w:rsid w:val="00073B34"/>
    <w:rsid w:val="00076953"/>
    <w:rsid w:val="0008040A"/>
    <w:rsid w:val="00081754"/>
    <w:rsid w:val="00083569"/>
    <w:rsid w:val="000866B4"/>
    <w:rsid w:val="00095D80"/>
    <w:rsid w:val="0009630A"/>
    <w:rsid w:val="000A36B4"/>
    <w:rsid w:val="000A4223"/>
    <w:rsid w:val="000A6098"/>
    <w:rsid w:val="000A616C"/>
    <w:rsid w:val="000A6965"/>
    <w:rsid w:val="000B0FED"/>
    <w:rsid w:val="000B5122"/>
    <w:rsid w:val="000B6D74"/>
    <w:rsid w:val="000C0025"/>
    <w:rsid w:val="000C03A9"/>
    <w:rsid w:val="000C1445"/>
    <w:rsid w:val="000C23F3"/>
    <w:rsid w:val="000C4688"/>
    <w:rsid w:val="000D3227"/>
    <w:rsid w:val="000D43A5"/>
    <w:rsid w:val="000D67F2"/>
    <w:rsid w:val="000D7F53"/>
    <w:rsid w:val="000D7FEC"/>
    <w:rsid w:val="000E19C7"/>
    <w:rsid w:val="000E3A1D"/>
    <w:rsid w:val="000E663A"/>
    <w:rsid w:val="000F0519"/>
    <w:rsid w:val="000F45DD"/>
    <w:rsid w:val="000F52FD"/>
    <w:rsid w:val="000F5A07"/>
    <w:rsid w:val="000F5CFC"/>
    <w:rsid w:val="000F6009"/>
    <w:rsid w:val="00103716"/>
    <w:rsid w:val="00103CA2"/>
    <w:rsid w:val="00105292"/>
    <w:rsid w:val="0010556E"/>
    <w:rsid w:val="00106905"/>
    <w:rsid w:val="00110755"/>
    <w:rsid w:val="00110ECD"/>
    <w:rsid w:val="00113726"/>
    <w:rsid w:val="0011485B"/>
    <w:rsid w:val="00117966"/>
    <w:rsid w:val="00117AA1"/>
    <w:rsid w:val="00117D75"/>
    <w:rsid w:val="001210A3"/>
    <w:rsid w:val="00124370"/>
    <w:rsid w:val="00124F49"/>
    <w:rsid w:val="00127DDC"/>
    <w:rsid w:val="00134C76"/>
    <w:rsid w:val="00140D2F"/>
    <w:rsid w:val="00142C63"/>
    <w:rsid w:val="00143C5A"/>
    <w:rsid w:val="00145E09"/>
    <w:rsid w:val="001529A7"/>
    <w:rsid w:val="0015369A"/>
    <w:rsid w:val="00154AC5"/>
    <w:rsid w:val="00155445"/>
    <w:rsid w:val="00160A8F"/>
    <w:rsid w:val="0016149F"/>
    <w:rsid w:val="0016281A"/>
    <w:rsid w:val="00162F82"/>
    <w:rsid w:val="00174439"/>
    <w:rsid w:val="00175DB2"/>
    <w:rsid w:val="001761C4"/>
    <w:rsid w:val="001772E9"/>
    <w:rsid w:val="00180CA3"/>
    <w:rsid w:val="00187416"/>
    <w:rsid w:val="00194FFE"/>
    <w:rsid w:val="00195515"/>
    <w:rsid w:val="0019650D"/>
    <w:rsid w:val="00196EE6"/>
    <w:rsid w:val="001A0221"/>
    <w:rsid w:val="001A2E5B"/>
    <w:rsid w:val="001B17E0"/>
    <w:rsid w:val="001B1B38"/>
    <w:rsid w:val="001B53A5"/>
    <w:rsid w:val="001B5EA9"/>
    <w:rsid w:val="001C6524"/>
    <w:rsid w:val="001D2734"/>
    <w:rsid w:val="001D3192"/>
    <w:rsid w:val="001D7D8E"/>
    <w:rsid w:val="001E0F01"/>
    <w:rsid w:val="001E123D"/>
    <w:rsid w:val="001E1998"/>
    <w:rsid w:val="001E1EE0"/>
    <w:rsid w:val="001E2F7D"/>
    <w:rsid w:val="001E3CF4"/>
    <w:rsid w:val="001E544A"/>
    <w:rsid w:val="001E5D67"/>
    <w:rsid w:val="001E5E83"/>
    <w:rsid w:val="001F09C9"/>
    <w:rsid w:val="001F5B00"/>
    <w:rsid w:val="001F6320"/>
    <w:rsid w:val="00203EAD"/>
    <w:rsid w:val="002134B9"/>
    <w:rsid w:val="0021492A"/>
    <w:rsid w:val="00215B8E"/>
    <w:rsid w:val="00220E91"/>
    <w:rsid w:val="00221CA5"/>
    <w:rsid w:val="0022644E"/>
    <w:rsid w:val="00226CC2"/>
    <w:rsid w:val="00227D83"/>
    <w:rsid w:val="002316A0"/>
    <w:rsid w:val="00231847"/>
    <w:rsid w:val="002324EB"/>
    <w:rsid w:val="00232C9F"/>
    <w:rsid w:val="00233227"/>
    <w:rsid w:val="00237FD1"/>
    <w:rsid w:val="00242A73"/>
    <w:rsid w:val="00244593"/>
    <w:rsid w:val="00246E05"/>
    <w:rsid w:val="00251456"/>
    <w:rsid w:val="0025192E"/>
    <w:rsid w:val="00253310"/>
    <w:rsid w:val="002533ED"/>
    <w:rsid w:val="00254B88"/>
    <w:rsid w:val="002563C4"/>
    <w:rsid w:val="002605D3"/>
    <w:rsid w:val="0026097D"/>
    <w:rsid w:val="002638F1"/>
    <w:rsid w:val="00264931"/>
    <w:rsid w:val="00267010"/>
    <w:rsid w:val="002731BE"/>
    <w:rsid w:val="002734F9"/>
    <w:rsid w:val="00274462"/>
    <w:rsid w:val="00274ED9"/>
    <w:rsid w:val="0028178C"/>
    <w:rsid w:val="00282B11"/>
    <w:rsid w:val="00282EB1"/>
    <w:rsid w:val="00283B5B"/>
    <w:rsid w:val="002861CB"/>
    <w:rsid w:val="00286788"/>
    <w:rsid w:val="00287439"/>
    <w:rsid w:val="0029193A"/>
    <w:rsid w:val="002945CF"/>
    <w:rsid w:val="002946BF"/>
    <w:rsid w:val="00296BE6"/>
    <w:rsid w:val="00297E61"/>
    <w:rsid w:val="002A0510"/>
    <w:rsid w:val="002A11D1"/>
    <w:rsid w:val="002A122C"/>
    <w:rsid w:val="002A16A2"/>
    <w:rsid w:val="002A2B69"/>
    <w:rsid w:val="002A5A2A"/>
    <w:rsid w:val="002B0B2C"/>
    <w:rsid w:val="002B0EA3"/>
    <w:rsid w:val="002B28F4"/>
    <w:rsid w:val="002B2C4A"/>
    <w:rsid w:val="002B2E21"/>
    <w:rsid w:val="002B4089"/>
    <w:rsid w:val="002D3784"/>
    <w:rsid w:val="002E020B"/>
    <w:rsid w:val="002E21C6"/>
    <w:rsid w:val="002E38DF"/>
    <w:rsid w:val="002E531E"/>
    <w:rsid w:val="002E6091"/>
    <w:rsid w:val="002E6839"/>
    <w:rsid w:val="002E7C83"/>
    <w:rsid w:val="002F06AA"/>
    <w:rsid w:val="002F13DF"/>
    <w:rsid w:val="002F2837"/>
    <w:rsid w:val="002F5A70"/>
    <w:rsid w:val="002F5BB8"/>
    <w:rsid w:val="002F6E36"/>
    <w:rsid w:val="002F7FCE"/>
    <w:rsid w:val="0030166A"/>
    <w:rsid w:val="0030476D"/>
    <w:rsid w:val="00305EE3"/>
    <w:rsid w:val="00306C0B"/>
    <w:rsid w:val="003070B7"/>
    <w:rsid w:val="00313630"/>
    <w:rsid w:val="00314D60"/>
    <w:rsid w:val="00321825"/>
    <w:rsid w:val="00324FF7"/>
    <w:rsid w:val="00325B68"/>
    <w:rsid w:val="00325BEB"/>
    <w:rsid w:val="0032665D"/>
    <w:rsid w:val="003303D7"/>
    <w:rsid w:val="00331D3A"/>
    <w:rsid w:val="00332103"/>
    <w:rsid w:val="00333C3F"/>
    <w:rsid w:val="003343AF"/>
    <w:rsid w:val="003373F4"/>
    <w:rsid w:val="00340079"/>
    <w:rsid w:val="003400AF"/>
    <w:rsid w:val="0034196A"/>
    <w:rsid w:val="0034237C"/>
    <w:rsid w:val="0034344D"/>
    <w:rsid w:val="0034532F"/>
    <w:rsid w:val="003464FD"/>
    <w:rsid w:val="003502F9"/>
    <w:rsid w:val="003517F5"/>
    <w:rsid w:val="00352A3D"/>
    <w:rsid w:val="00353344"/>
    <w:rsid w:val="00355FD0"/>
    <w:rsid w:val="00356CCA"/>
    <w:rsid w:val="00357C8B"/>
    <w:rsid w:val="00361200"/>
    <w:rsid w:val="00361F6A"/>
    <w:rsid w:val="003705A0"/>
    <w:rsid w:val="00370B0C"/>
    <w:rsid w:val="003726EA"/>
    <w:rsid w:val="00372C57"/>
    <w:rsid w:val="0037798C"/>
    <w:rsid w:val="00382783"/>
    <w:rsid w:val="00384A61"/>
    <w:rsid w:val="0039079A"/>
    <w:rsid w:val="003958B3"/>
    <w:rsid w:val="00397BC2"/>
    <w:rsid w:val="003A062A"/>
    <w:rsid w:val="003A4EFE"/>
    <w:rsid w:val="003A5B80"/>
    <w:rsid w:val="003A7EAE"/>
    <w:rsid w:val="003B4173"/>
    <w:rsid w:val="003B4413"/>
    <w:rsid w:val="003B60AE"/>
    <w:rsid w:val="003B65B1"/>
    <w:rsid w:val="003B7F55"/>
    <w:rsid w:val="003C1EC4"/>
    <w:rsid w:val="003C313C"/>
    <w:rsid w:val="003D0693"/>
    <w:rsid w:val="003D1BAD"/>
    <w:rsid w:val="003D4D7F"/>
    <w:rsid w:val="003D4ECB"/>
    <w:rsid w:val="003D5BC9"/>
    <w:rsid w:val="003E1D2C"/>
    <w:rsid w:val="003E43F0"/>
    <w:rsid w:val="003F3236"/>
    <w:rsid w:val="003F729C"/>
    <w:rsid w:val="00400AAB"/>
    <w:rsid w:val="00402FAA"/>
    <w:rsid w:val="00410C55"/>
    <w:rsid w:val="004152EE"/>
    <w:rsid w:val="00416154"/>
    <w:rsid w:val="004179D2"/>
    <w:rsid w:val="00426BD0"/>
    <w:rsid w:val="00426E56"/>
    <w:rsid w:val="00427404"/>
    <w:rsid w:val="00427C23"/>
    <w:rsid w:val="004327A3"/>
    <w:rsid w:val="004332C9"/>
    <w:rsid w:val="004376A9"/>
    <w:rsid w:val="0044145A"/>
    <w:rsid w:val="004418FC"/>
    <w:rsid w:val="00442BAB"/>
    <w:rsid w:val="00442DE9"/>
    <w:rsid w:val="004472EF"/>
    <w:rsid w:val="00447CE1"/>
    <w:rsid w:val="004502E7"/>
    <w:rsid w:val="00451603"/>
    <w:rsid w:val="004517AF"/>
    <w:rsid w:val="0045188C"/>
    <w:rsid w:val="00452644"/>
    <w:rsid w:val="00452E75"/>
    <w:rsid w:val="00454BDE"/>
    <w:rsid w:val="0045551F"/>
    <w:rsid w:val="0045774A"/>
    <w:rsid w:val="00467428"/>
    <w:rsid w:val="00471D30"/>
    <w:rsid w:val="00472511"/>
    <w:rsid w:val="00473E8E"/>
    <w:rsid w:val="00476D6A"/>
    <w:rsid w:val="004771B7"/>
    <w:rsid w:val="00477A1A"/>
    <w:rsid w:val="004815DB"/>
    <w:rsid w:val="0048248C"/>
    <w:rsid w:val="00482CEE"/>
    <w:rsid w:val="004831A0"/>
    <w:rsid w:val="00486B3C"/>
    <w:rsid w:val="00487F4A"/>
    <w:rsid w:val="00492958"/>
    <w:rsid w:val="0049326B"/>
    <w:rsid w:val="00493ACF"/>
    <w:rsid w:val="00494186"/>
    <w:rsid w:val="0049671A"/>
    <w:rsid w:val="00496DE2"/>
    <w:rsid w:val="00497636"/>
    <w:rsid w:val="004A288D"/>
    <w:rsid w:val="004A552A"/>
    <w:rsid w:val="004B1FF2"/>
    <w:rsid w:val="004B3D40"/>
    <w:rsid w:val="004B422B"/>
    <w:rsid w:val="004B47AF"/>
    <w:rsid w:val="004B4FE3"/>
    <w:rsid w:val="004B52EE"/>
    <w:rsid w:val="004B6532"/>
    <w:rsid w:val="004C11CF"/>
    <w:rsid w:val="004C525D"/>
    <w:rsid w:val="004C5964"/>
    <w:rsid w:val="004D273E"/>
    <w:rsid w:val="004D3C11"/>
    <w:rsid w:val="004D6AC6"/>
    <w:rsid w:val="004D7161"/>
    <w:rsid w:val="004D735C"/>
    <w:rsid w:val="004D77AF"/>
    <w:rsid w:val="004E07BB"/>
    <w:rsid w:val="004E19DB"/>
    <w:rsid w:val="004E1E11"/>
    <w:rsid w:val="004E27B6"/>
    <w:rsid w:val="004E7041"/>
    <w:rsid w:val="004F0E64"/>
    <w:rsid w:val="004F18DD"/>
    <w:rsid w:val="004F52C0"/>
    <w:rsid w:val="004F6E80"/>
    <w:rsid w:val="00500746"/>
    <w:rsid w:val="00500B4B"/>
    <w:rsid w:val="00510202"/>
    <w:rsid w:val="00511C99"/>
    <w:rsid w:val="005221FA"/>
    <w:rsid w:val="005227C5"/>
    <w:rsid w:val="0052516A"/>
    <w:rsid w:val="00533656"/>
    <w:rsid w:val="00543CF4"/>
    <w:rsid w:val="00544628"/>
    <w:rsid w:val="00555134"/>
    <w:rsid w:val="0055653F"/>
    <w:rsid w:val="0055661F"/>
    <w:rsid w:val="00561C68"/>
    <w:rsid w:val="00561FBD"/>
    <w:rsid w:val="00563774"/>
    <w:rsid w:val="00564F16"/>
    <w:rsid w:val="00567649"/>
    <w:rsid w:val="005714AD"/>
    <w:rsid w:val="00577418"/>
    <w:rsid w:val="00581024"/>
    <w:rsid w:val="00582805"/>
    <w:rsid w:val="00591C0D"/>
    <w:rsid w:val="005933B8"/>
    <w:rsid w:val="00594015"/>
    <w:rsid w:val="00596FFD"/>
    <w:rsid w:val="0059797A"/>
    <w:rsid w:val="00597C12"/>
    <w:rsid w:val="005A00F8"/>
    <w:rsid w:val="005A0A2E"/>
    <w:rsid w:val="005A341D"/>
    <w:rsid w:val="005A478A"/>
    <w:rsid w:val="005B1691"/>
    <w:rsid w:val="005B641A"/>
    <w:rsid w:val="005B6CA3"/>
    <w:rsid w:val="005C2E78"/>
    <w:rsid w:val="005C5D7B"/>
    <w:rsid w:val="005C6BA8"/>
    <w:rsid w:val="005C736D"/>
    <w:rsid w:val="005C784B"/>
    <w:rsid w:val="005D1596"/>
    <w:rsid w:val="005D3DD1"/>
    <w:rsid w:val="005D4CE9"/>
    <w:rsid w:val="005D7321"/>
    <w:rsid w:val="005E0169"/>
    <w:rsid w:val="005E616A"/>
    <w:rsid w:val="005E6386"/>
    <w:rsid w:val="005F3367"/>
    <w:rsid w:val="005F48A6"/>
    <w:rsid w:val="005F6DCD"/>
    <w:rsid w:val="006016B0"/>
    <w:rsid w:val="006038F0"/>
    <w:rsid w:val="0061360F"/>
    <w:rsid w:val="006145FA"/>
    <w:rsid w:val="00614BE9"/>
    <w:rsid w:val="006203CD"/>
    <w:rsid w:val="00620C13"/>
    <w:rsid w:val="006213AC"/>
    <w:rsid w:val="006229E9"/>
    <w:rsid w:val="00625166"/>
    <w:rsid w:val="00626841"/>
    <w:rsid w:val="0063416D"/>
    <w:rsid w:val="00635120"/>
    <w:rsid w:val="0063662C"/>
    <w:rsid w:val="0065202A"/>
    <w:rsid w:val="006524C4"/>
    <w:rsid w:val="006539C3"/>
    <w:rsid w:val="00655513"/>
    <w:rsid w:val="00662187"/>
    <w:rsid w:val="00662BC0"/>
    <w:rsid w:val="00663019"/>
    <w:rsid w:val="00666985"/>
    <w:rsid w:val="0067104A"/>
    <w:rsid w:val="00671A5F"/>
    <w:rsid w:val="00673378"/>
    <w:rsid w:val="0068075F"/>
    <w:rsid w:val="006829BB"/>
    <w:rsid w:val="00684532"/>
    <w:rsid w:val="0068766A"/>
    <w:rsid w:val="0068780B"/>
    <w:rsid w:val="006932F6"/>
    <w:rsid w:val="006933AC"/>
    <w:rsid w:val="00693E88"/>
    <w:rsid w:val="00694104"/>
    <w:rsid w:val="006948AB"/>
    <w:rsid w:val="00694EAC"/>
    <w:rsid w:val="0069551F"/>
    <w:rsid w:val="0069638D"/>
    <w:rsid w:val="006A1C88"/>
    <w:rsid w:val="006A2E1A"/>
    <w:rsid w:val="006A4285"/>
    <w:rsid w:val="006A52AB"/>
    <w:rsid w:val="006A6EBB"/>
    <w:rsid w:val="006B105F"/>
    <w:rsid w:val="006B2D0F"/>
    <w:rsid w:val="006C01CB"/>
    <w:rsid w:val="006C028D"/>
    <w:rsid w:val="006C17C6"/>
    <w:rsid w:val="006C1A9E"/>
    <w:rsid w:val="006C412E"/>
    <w:rsid w:val="006C4BDA"/>
    <w:rsid w:val="006C7F8E"/>
    <w:rsid w:val="006E2C82"/>
    <w:rsid w:val="006E6CD1"/>
    <w:rsid w:val="006E6FFD"/>
    <w:rsid w:val="006E7977"/>
    <w:rsid w:val="006F2454"/>
    <w:rsid w:val="00700261"/>
    <w:rsid w:val="00701920"/>
    <w:rsid w:val="0070306F"/>
    <w:rsid w:val="007034BC"/>
    <w:rsid w:val="007052BB"/>
    <w:rsid w:val="00711F31"/>
    <w:rsid w:val="00712655"/>
    <w:rsid w:val="00714634"/>
    <w:rsid w:val="00721BD6"/>
    <w:rsid w:val="00722AC7"/>
    <w:rsid w:val="007233C1"/>
    <w:rsid w:val="00727E81"/>
    <w:rsid w:val="007333DB"/>
    <w:rsid w:val="00734A16"/>
    <w:rsid w:val="007367F5"/>
    <w:rsid w:val="007367F9"/>
    <w:rsid w:val="007370D6"/>
    <w:rsid w:val="007425F3"/>
    <w:rsid w:val="00742FBA"/>
    <w:rsid w:val="00743A3E"/>
    <w:rsid w:val="00745E8D"/>
    <w:rsid w:val="00750895"/>
    <w:rsid w:val="00752BD9"/>
    <w:rsid w:val="00752F97"/>
    <w:rsid w:val="007547AD"/>
    <w:rsid w:val="00763FFF"/>
    <w:rsid w:val="00764732"/>
    <w:rsid w:val="007716B4"/>
    <w:rsid w:val="00771E65"/>
    <w:rsid w:val="007772F6"/>
    <w:rsid w:val="0077795F"/>
    <w:rsid w:val="0078088E"/>
    <w:rsid w:val="007809A4"/>
    <w:rsid w:val="007833E9"/>
    <w:rsid w:val="00791334"/>
    <w:rsid w:val="00792B1E"/>
    <w:rsid w:val="00794EDB"/>
    <w:rsid w:val="007A148B"/>
    <w:rsid w:val="007A1CEB"/>
    <w:rsid w:val="007A2472"/>
    <w:rsid w:val="007A342B"/>
    <w:rsid w:val="007A39C7"/>
    <w:rsid w:val="007A412A"/>
    <w:rsid w:val="007A54F3"/>
    <w:rsid w:val="007A580E"/>
    <w:rsid w:val="007B1535"/>
    <w:rsid w:val="007B29A7"/>
    <w:rsid w:val="007B7B7F"/>
    <w:rsid w:val="007C79F7"/>
    <w:rsid w:val="007D45FB"/>
    <w:rsid w:val="007D4918"/>
    <w:rsid w:val="007E41B7"/>
    <w:rsid w:val="007E51BE"/>
    <w:rsid w:val="007F2F15"/>
    <w:rsid w:val="007F612D"/>
    <w:rsid w:val="007F6202"/>
    <w:rsid w:val="007F637A"/>
    <w:rsid w:val="007F6713"/>
    <w:rsid w:val="00800565"/>
    <w:rsid w:val="00800C6B"/>
    <w:rsid w:val="008020F2"/>
    <w:rsid w:val="00803698"/>
    <w:rsid w:val="00806D94"/>
    <w:rsid w:val="008119BD"/>
    <w:rsid w:val="00811BF0"/>
    <w:rsid w:val="0081539E"/>
    <w:rsid w:val="008155C5"/>
    <w:rsid w:val="008236E6"/>
    <w:rsid w:val="00824DAD"/>
    <w:rsid w:val="008264C9"/>
    <w:rsid w:val="008268A1"/>
    <w:rsid w:val="00833E93"/>
    <w:rsid w:val="00833F4D"/>
    <w:rsid w:val="0083669A"/>
    <w:rsid w:val="008433C3"/>
    <w:rsid w:val="008443BC"/>
    <w:rsid w:val="00846514"/>
    <w:rsid w:val="00847275"/>
    <w:rsid w:val="00852ABA"/>
    <w:rsid w:val="008531DA"/>
    <w:rsid w:val="00854E29"/>
    <w:rsid w:val="008575E9"/>
    <w:rsid w:val="00857FC8"/>
    <w:rsid w:val="00862B1D"/>
    <w:rsid w:val="0086330D"/>
    <w:rsid w:val="0086421E"/>
    <w:rsid w:val="008661C7"/>
    <w:rsid w:val="00866438"/>
    <w:rsid w:val="008701C2"/>
    <w:rsid w:val="00871B99"/>
    <w:rsid w:val="00874625"/>
    <w:rsid w:val="00874745"/>
    <w:rsid w:val="00882704"/>
    <w:rsid w:val="00882EAA"/>
    <w:rsid w:val="0088340D"/>
    <w:rsid w:val="008845E8"/>
    <w:rsid w:val="008862FA"/>
    <w:rsid w:val="008967BC"/>
    <w:rsid w:val="008A02FB"/>
    <w:rsid w:val="008A0EA8"/>
    <w:rsid w:val="008A1734"/>
    <w:rsid w:val="008A3F84"/>
    <w:rsid w:val="008A5B7F"/>
    <w:rsid w:val="008A6951"/>
    <w:rsid w:val="008A7A50"/>
    <w:rsid w:val="008B328F"/>
    <w:rsid w:val="008B3837"/>
    <w:rsid w:val="008C2905"/>
    <w:rsid w:val="008C2D1C"/>
    <w:rsid w:val="008C33C4"/>
    <w:rsid w:val="008C67E3"/>
    <w:rsid w:val="008D11DF"/>
    <w:rsid w:val="008D3D60"/>
    <w:rsid w:val="008D468C"/>
    <w:rsid w:val="008D67F7"/>
    <w:rsid w:val="008E2E7C"/>
    <w:rsid w:val="008F0B05"/>
    <w:rsid w:val="008F1EBB"/>
    <w:rsid w:val="008F468E"/>
    <w:rsid w:val="008F7ECD"/>
    <w:rsid w:val="0090203E"/>
    <w:rsid w:val="00902F30"/>
    <w:rsid w:val="009036CF"/>
    <w:rsid w:val="009047B8"/>
    <w:rsid w:val="00906C1F"/>
    <w:rsid w:val="00911196"/>
    <w:rsid w:val="009118ED"/>
    <w:rsid w:val="009126A4"/>
    <w:rsid w:val="00913E4B"/>
    <w:rsid w:val="00915DC1"/>
    <w:rsid w:val="009211A7"/>
    <w:rsid w:val="009213AA"/>
    <w:rsid w:val="009215FE"/>
    <w:rsid w:val="00921AF2"/>
    <w:rsid w:val="009223C1"/>
    <w:rsid w:val="0092277C"/>
    <w:rsid w:val="009266C4"/>
    <w:rsid w:val="009278FB"/>
    <w:rsid w:val="00931813"/>
    <w:rsid w:val="00942069"/>
    <w:rsid w:val="00945768"/>
    <w:rsid w:val="00945D2D"/>
    <w:rsid w:val="00946D29"/>
    <w:rsid w:val="00947672"/>
    <w:rsid w:val="0095081F"/>
    <w:rsid w:val="00952A1F"/>
    <w:rsid w:val="0095333A"/>
    <w:rsid w:val="009564AE"/>
    <w:rsid w:val="00961588"/>
    <w:rsid w:val="009635DE"/>
    <w:rsid w:val="00965D4B"/>
    <w:rsid w:val="00971369"/>
    <w:rsid w:val="009724CD"/>
    <w:rsid w:val="009775E9"/>
    <w:rsid w:val="00981C94"/>
    <w:rsid w:val="00982EFA"/>
    <w:rsid w:val="00985903"/>
    <w:rsid w:val="00987EAA"/>
    <w:rsid w:val="009920F0"/>
    <w:rsid w:val="00993223"/>
    <w:rsid w:val="0099484F"/>
    <w:rsid w:val="009A0404"/>
    <w:rsid w:val="009A210D"/>
    <w:rsid w:val="009A5629"/>
    <w:rsid w:val="009B2C21"/>
    <w:rsid w:val="009B3CF9"/>
    <w:rsid w:val="009B5AE2"/>
    <w:rsid w:val="009C0CB1"/>
    <w:rsid w:val="009C1644"/>
    <w:rsid w:val="009C2A26"/>
    <w:rsid w:val="009C2FA4"/>
    <w:rsid w:val="009C45B0"/>
    <w:rsid w:val="009D0041"/>
    <w:rsid w:val="009D05A6"/>
    <w:rsid w:val="009D34CF"/>
    <w:rsid w:val="009D5B00"/>
    <w:rsid w:val="009D5CC6"/>
    <w:rsid w:val="009D5CCA"/>
    <w:rsid w:val="009E3DE3"/>
    <w:rsid w:val="009E4640"/>
    <w:rsid w:val="009E4D6B"/>
    <w:rsid w:val="009E62DC"/>
    <w:rsid w:val="009E7A5A"/>
    <w:rsid w:val="009F0C14"/>
    <w:rsid w:val="009F294D"/>
    <w:rsid w:val="009F75FC"/>
    <w:rsid w:val="00A03563"/>
    <w:rsid w:val="00A03F6C"/>
    <w:rsid w:val="00A05FE1"/>
    <w:rsid w:val="00A06A99"/>
    <w:rsid w:val="00A11BCA"/>
    <w:rsid w:val="00A14C2C"/>
    <w:rsid w:val="00A16C41"/>
    <w:rsid w:val="00A17296"/>
    <w:rsid w:val="00A21289"/>
    <w:rsid w:val="00A23900"/>
    <w:rsid w:val="00A24693"/>
    <w:rsid w:val="00A26CEE"/>
    <w:rsid w:val="00A41861"/>
    <w:rsid w:val="00A42063"/>
    <w:rsid w:val="00A4443E"/>
    <w:rsid w:val="00A4497F"/>
    <w:rsid w:val="00A45561"/>
    <w:rsid w:val="00A4645C"/>
    <w:rsid w:val="00A471E2"/>
    <w:rsid w:val="00A51917"/>
    <w:rsid w:val="00A5194B"/>
    <w:rsid w:val="00A528F6"/>
    <w:rsid w:val="00A536A2"/>
    <w:rsid w:val="00A61066"/>
    <w:rsid w:val="00A61539"/>
    <w:rsid w:val="00A61A97"/>
    <w:rsid w:val="00A621E1"/>
    <w:rsid w:val="00A63B8F"/>
    <w:rsid w:val="00A641CF"/>
    <w:rsid w:val="00A671EF"/>
    <w:rsid w:val="00A70B72"/>
    <w:rsid w:val="00A75460"/>
    <w:rsid w:val="00A7617A"/>
    <w:rsid w:val="00A76F08"/>
    <w:rsid w:val="00A80BA9"/>
    <w:rsid w:val="00A82899"/>
    <w:rsid w:val="00A8635B"/>
    <w:rsid w:val="00A90587"/>
    <w:rsid w:val="00A90A0C"/>
    <w:rsid w:val="00A90D7A"/>
    <w:rsid w:val="00A95C64"/>
    <w:rsid w:val="00A960D1"/>
    <w:rsid w:val="00A9662D"/>
    <w:rsid w:val="00AA0561"/>
    <w:rsid w:val="00AA2947"/>
    <w:rsid w:val="00AB4CE8"/>
    <w:rsid w:val="00AB6730"/>
    <w:rsid w:val="00AB6734"/>
    <w:rsid w:val="00AC28C7"/>
    <w:rsid w:val="00AC5964"/>
    <w:rsid w:val="00AC79AE"/>
    <w:rsid w:val="00AD1E13"/>
    <w:rsid w:val="00AD2E0F"/>
    <w:rsid w:val="00AD3065"/>
    <w:rsid w:val="00AD63A4"/>
    <w:rsid w:val="00AD71A9"/>
    <w:rsid w:val="00AE0B02"/>
    <w:rsid w:val="00AE1479"/>
    <w:rsid w:val="00AE3F3C"/>
    <w:rsid w:val="00AE5BF9"/>
    <w:rsid w:val="00AF101A"/>
    <w:rsid w:val="00AF139A"/>
    <w:rsid w:val="00AF386D"/>
    <w:rsid w:val="00AF438B"/>
    <w:rsid w:val="00AF4C36"/>
    <w:rsid w:val="00AF585D"/>
    <w:rsid w:val="00AF72C4"/>
    <w:rsid w:val="00AF7387"/>
    <w:rsid w:val="00B01BCA"/>
    <w:rsid w:val="00B056F9"/>
    <w:rsid w:val="00B07340"/>
    <w:rsid w:val="00B146D8"/>
    <w:rsid w:val="00B14DE5"/>
    <w:rsid w:val="00B16264"/>
    <w:rsid w:val="00B229CC"/>
    <w:rsid w:val="00B2491D"/>
    <w:rsid w:val="00B24CE1"/>
    <w:rsid w:val="00B256AF"/>
    <w:rsid w:val="00B36134"/>
    <w:rsid w:val="00B4253F"/>
    <w:rsid w:val="00B426CD"/>
    <w:rsid w:val="00B42C6D"/>
    <w:rsid w:val="00B50501"/>
    <w:rsid w:val="00B52808"/>
    <w:rsid w:val="00B5336F"/>
    <w:rsid w:val="00B54737"/>
    <w:rsid w:val="00B56703"/>
    <w:rsid w:val="00B576BA"/>
    <w:rsid w:val="00B578F0"/>
    <w:rsid w:val="00B64DEA"/>
    <w:rsid w:val="00B668EF"/>
    <w:rsid w:val="00B72135"/>
    <w:rsid w:val="00B74C08"/>
    <w:rsid w:val="00B76F73"/>
    <w:rsid w:val="00B80FC9"/>
    <w:rsid w:val="00B82261"/>
    <w:rsid w:val="00B85EC0"/>
    <w:rsid w:val="00B91293"/>
    <w:rsid w:val="00B91789"/>
    <w:rsid w:val="00B925A0"/>
    <w:rsid w:val="00B949F1"/>
    <w:rsid w:val="00B94A97"/>
    <w:rsid w:val="00B97132"/>
    <w:rsid w:val="00BA25FA"/>
    <w:rsid w:val="00BA2C50"/>
    <w:rsid w:val="00BA2E76"/>
    <w:rsid w:val="00BA605A"/>
    <w:rsid w:val="00BB13EF"/>
    <w:rsid w:val="00BB21F9"/>
    <w:rsid w:val="00BB4A7B"/>
    <w:rsid w:val="00BC01FB"/>
    <w:rsid w:val="00BC34AC"/>
    <w:rsid w:val="00BC52B2"/>
    <w:rsid w:val="00BC661D"/>
    <w:rsid w:val="00BC717D"/>
    <w:rsid w:val="00BD1FCD"/>
    <w:rsid w:val="00BD3B8A"/>
    <w:rsid w:val="00BD52D2"/>
    <w:rsid w:val="00BE1091"/>
    <w:rsid w:val="00BE11AE"/>
    <w:rsid w:val="00BE12EA"/>
    <w:rsid w:val="00BE2599"/>
    <w:rsid w:val="00BE2A5F"/>
    <w:rsid w:val="00BE4659"/>
    <w:rsid w:val="00BE6485"/>
    <w:rsid w:val="00BF0182"/>
    <w:rsid w:val="00BF08CB"/>
    <w:rsid w:val="00BF28B4"/>
    <w:rsid w:val="00BF3F9F"/>
    <w:rsid w:val="00BF45BC"/>
    <w:rsid w:val="00C0097E"/>
    <w:rsid w:val="00C0590F"/>
    <w:rsid w:val="00C07EFA"/>
    <w:rsid w:val="00C10C00"/>
    <w:rsid w:val="00C12170"/>
    <w:rsid w:val="00C158B8"/>
    <w:rsid w:val="00C17000"/>
    <w:rsid w:val="00C20165"/>
    <w:rsid w:val="00C22D89"/>
    <w:rsid w:val="00C24012"/>
    <w:rsid w:val="00C244E1"/>
    <w:rsid w:val="00C279B8"/>
    <w:rsid w:val="00C3071A"/>
    <w:rsid w:val="00C308FF"/>
    <w:rsid w:val="00C327B2"/>
    <w:rsid w:val="00C33B96"/>
    <w:rsid w:val="00C4055F"/>
    <w:rsid w:val="00C414B4"/>
    <w:rsid w:val="00C41D27"/>
    <w:rsid w:val="00C41F73"/>
    <w:rsid w:val="00C4379B"/>
    <w:rsid w:val="00C4432D"/>
    <w:rsid w:val="00C4448A"/>
    <w:rsid w:val="00C45895"/>
    <w:rsid w:val="00C45919"/>
    <w:rsid w:val="00C46A25"/>
    <w:rsid w:val="00C545B5"/>
    <w:rsid w:val="00C55439"/>
    <w:rsid w:val="00C60D0A"/>
    <w:rsid w:val="00C65A12"/>
    <w:rsid w:val="00C65E65"/>
    <w:rsid w:val="00C72668"/>
    <w:rsid w:val="00C7520C"/>
    <w:rsid w:val="00C77E9E"/>
    <w:rsid w:val="00C80D43"/>
    <w:rsid w:val="00C840F5"/>
    <w:rsid w:val="00C86559"/>
    <w:rsid w:val="00C878B1"/>
    <w:rsid w:val="00C90295"/>
    <w:rsid w:val="00C9036F"/>
    <w:rsid w:val="00C93A2E"/>
    <w:rsid w:val="00C93F31"/>
    <w:rsid w:val="00C957C1"/>
    <w:rsid w:val="00C96642"/>
    <w:rsid w:val="00CA2795"/>
    <w:rsid w:val="00CA66A2"/>
    <w:rsid w:val="00CA7803"/>
    <w:rsid w:val="00CB1820"/>
    <w:rsid w:val="00CB302B"/>
    <w:rsid w:val="00CB3080"/>
    <w:rsid w:val="00CB3509"/>
    <w:rsid w:val="00CC1630"/>
    <w:rsid w:val="00CC25F4"/>
    <w:rsid w:val="00CC454F"/>
    <w:rsid w:val="00CD1B0C"/>
    <w:rsid w:val="00CD2A4C"/>
    <w:rsid w:val="00CD2F5F"/>
    <w:rsid w:val="00CD50FE"/>
    <w:rsid w:val="00CD6218"/>
    <w:rsid w:val="00CD7372"/>
    <w:rsid w:val="00CE0327"/>
    <w:rsid w:val="00CE1470"/>
    <w:rsid w:val="00CE21EA"/>
    <w:rsid w:val="00CE24EF"/>
    <w:rsid w:val="00CE3F1B"/>
    <w:rsid w:val="00CE5DC5"/>
    <w:rsid w:val="00CE6E28"/>
    <w:rsid w:val="00CF079C"/>
    <w:rsid w:val="00CF0CA7"/>
    <w:rsid w:val="00CF415E"/>
    <w:rsid w:val="00CF6FC0"/>
    <w:rsid w:val="00D022E9"/>
    <w:rsid w:val="00D03BD7"/>
    <w:rsid w:val="00D0466F"/>
    <w:rsid w:val="00D05BA8"/>
    <w:rsid w:val="00D06AAD"/>
    <w:rsid w:val="00D10C23"/>
    <w:rsid w:val="00D1673A"/>
    <w:rsid w:val="00D17955"/>
    <w:rsid w:val="00D22B17"/>
    <w:rsid w:val="00D3606A"/>
    <w:rsid w:val="00D3739A"/>
    <w:rsid w:val="00D37C6A"/>
    <w:rsid w:val="00D37CFB"/>
    <w:rsid w:val="00D439EA"/>
    <w:rsid w:val="00D5078A"/>
    <w:rsid w:val="00D50DB3"/>
    <w:rsid w:val="00D552F9"/>
    <w:rsid w:val="00D62F6C"/>
    <w:rsid w:val="00D63531"/>
    <w:rsid w:val="00D64AA2"/>
    <w:rsid w:val="00D73624"/>
    <w:rsid w:val="00D7522A"/>
    <w:rsid w:val="00D754C0"/>
    <w:rsid w:val="00D771FF"/>
    <w:rsid w:val="00D80BC6"/>
    <w:rsid w:val="00D86581"/>
    <w:rsid w:val="00D90830"/>
    <w:rsid w:val="00D90C5A"/>
    <w:rsid w:val="00D93FC8"/>
    <w:rsid w:val="00D9457D"/>
    <w:rsid w:val="00D9473C"/>
    <w:rsid w:val="00D94910"/>
    <w:rsid w:val="00D961B5"/>
    <w:rsid w:val="00D96D29"/>
    <w:rsid w:val="00D9745A"/>
    <w:rsid w:val="00DA2000"/>
    <w:rsid w:val="00DB5838"/>
    <w:rsid w:val="00DC00E0"/>
    <w:rsid w:val="00DC1827"/>
    <w:rsid w:val="00DC443C"/>
    <w:rsid w:val="00DC78D8"/>
    <w:rsid w:val="00DC7F34"/>
    <w:rsid w:val="00DD1B25"/>
    <w:rsid w:val="00DD2691"/>
    <w:rsid w:val="00DD39A1"/>
    <w:rsid w:val="00DD5733"/>
    <w:rsid w:val="00DD58E2"/>
    <w:rsid w:val="00DE36F8"/>
    <w:rsid w:val="00DE6881"/>
    <w:rsid w:val="00DE782C"/>
    <w:rsid w:val="00DF1FA4"/>
    <w:rsid w:val="00DF40AE"/>
    <w:rsid w:val="00DF5748"/>
    <w:rsid w:val="00E00F34"/>
    <w:rsid w:val="00E01C21"/>
    <w:rsid w:val="00E05CAA"/>
    <w:rsid w:val="00E07F89"/>
    <w:rsid w:val="00E115E5"/>
    <w:rsid w:val="00E12D20"/>
    <w:rsid w:val="00E13648"/>
    <w:rsid w:val="00E1626D"/>
    <w:rsid w:val="00E1757E"/>
    <w:rsid w:val="00E208CA"/>
    <w:rsid w:val="00E24828"/>
    <w:rsid w:val="00E24E20"/>
    <w:rsid w:val="00E250DC"/>
    <w:rsid w:val="00E25204"/>
    <w:rsid w:val="00E33004"/>
    <w:rsid w:val="00E369F8"/>
    <w:rsid w:val="00E37F12"/>
    <w:rsid w:val="00E42B83"/>
    <w:rsid w:val="00E44005"/>
    <w:rsid w:val="00E4769A"/>
    <w:rsid w:val="00E50543"/>
    <w:rsid w:val="00E5163A"/>
    <w:rsid w:val="00E53BBB"/>
    <w:rsid w:val="00E574BB"/>
    <w:rsid w:val="00E64D28"/>
    <w:rsid w:val="00E71736"/>
    <w:rsid w:val="00E73926"/>
    <w:rsid w:val="00E74A27"/>
    <w:rsid w:val="00E75661"/>
    <w:rsid w:val="00E75936"/>
    <w:rsid w:val="00E75CC3"/>
    <w:rsid w:val="00E80E62"/>
    <w:rsid w:val="00E8237D"/>
    <w:rsid w:val="00E829D0"/>
    <w:rsid w:val="00E8332F"/>
    <w:rsid w:val="00E84496"/>
    <w:rsid w:val="00E84BCC"/>
    <w:rsid w:val="00E85CAF"/>
    <w:rsid w:val="00E90542"/>
    <w:rsid w:val="00E905C2"/>
    <w:rsid w:val="00E93CE1"/>
    <w:rsid w:val="00EA4A5F"/>
    <w:rsid w:val="00EA5A70"/>
    <w:rsid w:val="00EB2952"/>
    <w:rsid w:val="00EB2CB9"/>
    <w:rsid w:val="00EB3038"/>
    <w:rsid w:val="00EC0DDF"/>
    <w:rsid w:val="00EC187D"/>
    <w:rsid w:val="00EC1EE2"/>
    <w:rsid w:val="00EC22B8"/>
    <w:rsid w:val="00EC3FFC"/>
    <w:rsid w:val="00EC49A4"/>
    <w:rsid w:val="00EC7BD6"/>
    <w:rsid w:val="00ED05AF"/>
    <w:rsid w:val="00ED0A01"/>
    <w:rsid w:val="00ED0C81"/>
    <w:rsid w:val="00ED1CC5"/>
    <w:rsid w:val="00ED2EF5"/>
    <w:rsid w:val="00EE3AB4"/>
    <w:rsid w:val="00EF06E7"/>
    <w:rsid w:val="00EF308E"/>
    <w:rsid w:val="00EF3CDD"/>
    <w:rsid w:val="00EF5A8D"/>
    <w:rsid w:val="00F02960"/>
    <w:rsid w:val="00F0367D"/>
    <w:rsid w:val="00F04498"/>
    <w:rsid w:val="00F05CCF"/>
    <w:rsid w:val="00F11DD7"/>
    <w:rsid w:val="00F13223"/>
    <w:rsid w:val="00F170DB"/>
    <w:rsid w:val="00F262C3"/>
    <w:rsid w:val="00F31788"/>
    <w:rsid w:val="00F3541C"/>
    <w:rsid w:val="00F37249"/>
    <w:rsid w:val="00F44442"/>
    <w:rsid w:val="00F472FB"/>
    <w:rsid w:val="00F503F3"/>
    <w:rsid w:val="00F51259"/>
    <w:rsid w:val="00F512FE"/>
    <w:rsid w:val="00F51B48"/>
    <w:rsid w:val="00F51BCB"/>
    <w:rsid w:val="00F5580A"/>
    <w:rsid w:val="00F602D4"/>
    <w:rsid w:val="00F62023"/>
    <w:rsid w:val="00F64770"/>
    <w:rsid w:val="00F701DB"/>
    <w:rsid w:val="00F70F03"/>
    <w:rsid w:val="00F726B7"/>
    <w:rsid w:val="00F727CA"/>
    <w:rsid w:val="00F73CF8"/>
    <w:rsid w:val="00F762B3"/>
    <w:rsid w:val="00F765BF"/>
    <w:rsid w:val="00F76EAF"/>
    <w:rsid w:val="00F77289"/>
    <w:rsid w:val="00F774CC"/>
    <w:rsid w:val="00F81DC7"/>
    <w:rsid w:val="00F82AE0"/>
    <w:rsid w:val="00F82AFD"/>
    <w:rsid w:val="00F83AEF"/>
    <w:rsid w:val="00F83B9C"/>
    <w:rsid w:val="00F84DDD"/>
    <w:rsid w:val="00F85FAF"/>
    <w:rsid w:val="00F86CAD"/>
    <w:rsid w:val="00F923F8"/>
    <w:rsid w:val="00F95779"/>
    <w:rsid w:val="00F95C4E"/>
    <w:rsid w:val="00F95D37"/>
    <w:rsid w:val="00FA1ED9"/>
    <w:rsid w:val="00FA4FDE"/>
    <w:rsid w:val="00FA516B"/>
    <w:rsid w:val="00FB723A"/>
    <w:rsid w:val="00FC76D0"/>
    <w:rsid w:val="00FD18B9"/>
    <w:rsid w:val="00FD363D"/>
    <w:rsid w:val="00FE2346"/>
    <w:rsid w:val="00FE3EC6"/>
    <w:rsid w:val="00FE3F07"/>
    <w:rsid w:val="00FE539C"/>
    <w:rsid w:val="00FE5960"/>
    <w:rsid w:val="00FE5A91"/>
    <w:rsid w:val="00FE7DFA"/>
    <w:rsid w:val="00FF01E9"/>
    <w:rsid w:val="00FF0642"/>
    <w:rsid w:val="00FF0F35"/>
    <w:rsid w:val="05FA3A93"/>
    <w:rsid w:val="2A7C771B"/>
    <w:rsid w:val="3C7AD745"/>
    <w:rsid w:val="50C29713"/>
    <w:rsid w:val="6DF49251"/>
    <w:rsid w:val="7B85C35A"/>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1FD9A04E"/>
  <w15:chartTrackingRefBased/>
  <w15:docId w15:val="{7CD458EC-264E-4AB6-B1EF-10C5D0FA7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pPr>
    <w:rPr>
      <w:snapToGrid w:val="0"/>
      <w:sz w:val="24"/>
      <w:lang w:eastAsia="en-US"/>
    </w:rPr>
  </w:style>
  <w:style w:type="paragraph" w:styleId="Heading1">
    <w:name w:val="heading 1"/>
    <w:basedOn w:val="Normal"/>
    <w:next w:val="Normal"/>
    <w:qFormat/>
    <w:pPr>
      <w:keepNext/>
      <w:widowControl/>
      <w:spacing w:after="10"/>
      <w:jc w:val="right"/>
      <w:outlineLvl w:val="0"/>
    </w:pPr>
    <w:rPr>
      <w:b/>
    </w:rPr>
  </w:style>
  <w:style w:type="paragraph" w:styleId="Heading2">
    <w:name w:val="heading 2"/>
    <w:basedOn w:val="Normal"/>
    <w:next w:val="Normal"/>
    <w:qFormat/>
    <w:pPr>
      <w:keepNext/>
      <w:widowControl/>
      <w:jc w:val="both"/>
      <w:outlineLvl w:val="1"/>
    </w:pPr>
    <w:rPr>
      <w:b/>
      <w:snapToGrid/>
    </w:rPr>
  </w:style>
  <w:style w:type="paragraph" w:styleId="Heading3">
    <w:name w:val="heading 3"/>
    <w:basedOn w:val="Normal"/>
    <w:next w:val="Normal"/>
    <w:qFormat/>
    <w:pPr>
      <w:keepNext/>
      <w:widowControl/>
      <w:jc w:val="center"/>
      <w:outlineLvl w:val="2"/>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Indent">
    <w:name w:val="Body Text Indent"/>
    <w:basedOn w:val="Normal"/>
    <w:pPr>
      <w:widowControl/>
      <w:ind w:left="720"/>
    </w:pPr>
  </w:style>
  <w:style w:type="paragraph" w:styleId="BodyTextIndent2">
    <w:name w:val="Body Text Indent 2"/>
    <w:basedOn w:val="Normal"/>
    <w:pPr>
      <w:widowControl/>
      <w:ind w:left="2160"/>
    </w:pPr>
  </w:style>
  <w:style w:type="character" w:styleId="Hyperlink">
    <w:name w:val="Hyperlink"/>
    <w:rPr>
      <w:color w:val="0000FF"/>
      <w:u w:val="single"/>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Indent3">
    <w:name w:val="Body Text Indent 3"/>
    <w:basedOn w:val="Normal"/>
    <w:pPr>
      <w:widowControl/>
      <w:tabs>
        <w:tab w:val="left" w:pos="-1440"/>
      </w:tabs>
      <w:ind w:left="2160" w:hanging="720"/>
    </w:pPr>
  </w:style>
  <w:style w:type="paragraph" w:styleId="BodyText">
    <w:name w:val="Body Text"/>
    <w:basedOn w:val="Normal"/>
    <w:pPr>
      <w:widowControl/>
      <w:jc w:val="center"/>
    </w:pPr>
    <w:rPr>
      <w:b/>
    </w:rPr>
  </w:style>
  <w:style w:type="paragraph" w:styleId="BodyText2">
    <w:name w:val="Body Text 2"/>
    <w:basedOn w:val="Normal"/>
    <w:pPr>
      <w:widowControl/>
    </w:pPr>
    <w:rPr>
      <w:b/>
    </w:rPr>
  </w:style>
  <w:style w:type="paragraph" w:styleId="BalloonText">
    <w:name w:val="Balloon Text"/>
    <w:basedOn w:val="Normal"/>
    <w:semiHidden/>
    <w:rsid w:val="0025192E"/>
    <w:rPr>
      <w:rFonts w:ascii="Tahoma" w:hAnsi="Tahoma" w:cs="Tahoma"/>
      <w:sz w:val="16"/>
      <w:szCs w:val="16"/>
    </w:rPr>
  </w:style>
  <w:style w:type="character" w:customStyle="1" w:styleId="FooterChar">
    <w:name w:val="Footer Char"/>
    <w:link w:val="Footer"/>
    <w:uiPriority w:val="99"/>
    <w:rsid w:val="00C244E1"/>
    <w:rPr>
      <w:snapToGrid w:val="0"/>
      <w:sz w:val="24"/>
    </w:rPr>
  </w:style>
  <w:style w:type="paragraph" w:styleId="Revision">
    <w:name w:val="Revision"/>
    <w:hidden/>
    <w:uiPriority w:val="99"/>
    <w:semiHidden/>
    <w:rsid w:val="00B2491D"/>
    <w:rPr>
      <w:snapToGrid w:val="0"/>
      <w:sz w:val="24"/>
      <w:lang w:eastAsia="en-US"/>
    </w:rPr>
  </w:style>
  <w:style w:type="character" w:styleId="CommentReference">
    <w:name w:val="annotation reference"/>
    <w:rsid w:val="00BF0182"/>
    <w:rPr>
      <w:sz w:val="16"/>
      <w:szCs w:val="16"/>
    </w:rPr>
  </w:style>
  <w:style w:type="paragraph" w:styleId="CommentText">
    <w:name w:val="annotation text"/>
    <w:basedOn w:val="Normal"/>
    <w:link w:val="CommentTextChar"/>
    <w:rsid w:val="00BF0182"/>
    <w:rPr>
      <w:sz w:val="20"/>
    </w:rPr>
  </w:style>
  <w:style w:type="character" w:customStyle="1" w:styleId="CommentTextChar">
    <w:name w:val="Comment Text Char"/>
    <w:link w:val="CommentText"/>
    <w:rsid w:val="00BF0182"/>
    <w:rPr>
      <w:snapToGrid w:val="0"/>
    </w:rPr>
  </w:style>
  <w:style w:type="paragraph" w:styleId="CommentSubject">
    <w:name w:val="annotation subject"/>
    <w:basedOn w:val="CommentText"/>
    <w:next w:val="CommentText"/>
    <w:link w:val="CommentSubjectChar"/>
    <w:rsid w:val="00BF0182"/>
    <w:rPr>
      <w:b/>
      <w:bCs/>
    </w:rPr>
  </w:style>
  <w:style w:type="character" w:customStyle="1" w:styleId="CommentSubjectChar">
    <w:name w:val="Comment Subject Char"/>
    <w:link w:val="CommentSubject"/>
    <w:rsid w:val="00BF0182"/>
    <w:rPr>
      <w:b/>
      <w:bCs/>
      <w:snapToGrid w:val="0"/>
    </w:rPr>
  </w:style>
  <w:style w:type="character" w:styleId="FollowedHyperlink">
    <w:name w:val="FollowedHyperlink"/>
    <w:rsid w:val="0030166A"/>
    <w:rPr>
      <w:color w:val="954F72"/>
      <w:u w:val="single"/>
    </w:rPr>
  </w:style>
  <w:style w:type="character" w:styleId="UnresolvedMention">
    <w:name w:val="Unresolved Mention"/>
    <w:uiPriority w:val="99"/>
    <w:semiHidden/>
    <w:unhideWhenUsed/>
    <w:rsid w:val="00145E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congress.gov/115/bills/hr2/BILLS-115hr2enr.pdf" TargetMode="External" /><Relationship Id="rId11" Type="http://schemas.openxmlformats.org/officeDocument/2006/relationships/hyperlink" Target="https://www.ers.usda.gov/media/nhelklzj/economic-research-service-strategic-plan-fy-2021-2025.pdf" TargetMode="External" /><Relationship Id="rId12" Type="http://schemas.openxmlformats.org/officeDocument/2006/relationships/hyperlink" Target="https://www.ers.usda.gov/publications/pub-details/?pubid=109895" TargetMode="External" /><Relationship Id="rId13" Type="http://schemas.openxmlformats.org/officeDocument/2006/relationships/hyperlink" Target="https://www.ers.usda.gov/topics/food-nutrition-assistance/food-security-in-the-us/key-statistics-graphics/" TargetMode="External" /><Relationship Id="rId14" Type="http://schemas.openxmlformats.org/officeDocument/2006/relationships/hyperlink" Target="https://www.ers.usda.gov/topics/food-nutrition-assistance/food-security-in-the-us/interactive-charts-and-highlights/" TargetMode="External" /><Relationship Id="rId15" Type="http://schemas.openxmlformats.org/officeDocument/2006/relationships/hyperlink" Target="https://health.gov/healthypeople/objectives-and-data/browse-objectives/nutrition-and-healthy-eating" TargetMode="External" /><Relationship Id="rId16" Type="http://schemas.openxmlformats.org/officeDocument/2006/relationships/hyperlink" Target="https://www.childstats.gov/americaschildren/eco4.asp" TargetMode="External" /><Relationship Id="rId17" Type="http://schemas.openxmlformats.org/officeDocument/2006/relationships/hyperlink" Target="https://www.ers.usda.gov/publications/pub-details/?pubid=108904" TargetMode="External" /><Relationship Id="rId18" Type="http://schemas.openxmlformats.org/officeDocument/2006/relationships/hyperlink" Target="https://www.ers.usda.gov/publications/pub-details/?pubid=101268" TargetMode="External" /><Relationship Id="rId19" Type="http://schemas.openxmlformats.org/officeDocument/2006/relationships/footer" Target="footer1.xml" /><Relationship Id="rId2" Type="http://schemas.openxmlformats.org/officeDocument/2006/relationships/webSettings" Target="webSettings.xml" /><Relationship Id="rId20" Type="http://schemas.openxmlformats.org/officeDocument/2006/relationships/hyperlink" Target="https://data.bls.gov/timeseries/CES0500000008" TargetMode="Externa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yperlink" Target="https://www.usda.gov/sites/default/files/documents/usda-fy-2022-2026-strategic-plan.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A564BFDED01044B279E2572E2E4F29" ma:contentTypeVersion="14" ma:contentTypeDescription="Create a new document." ma:contentTypeScope="" ma:versionID="e61754727b2ee78ebbd8bba473d28aa8">
  <xsd:schema xmlns:xsd="http://www.w3.org/2001/XMLSchema" xmlns:xs="http://www.w3.org/2001/XMLSchema" xmlns:p="http://schemas.microsoft.com/office/2006/metadata/properties" xmlns:ns2="8e49a796-f2f7-4eea-8774-56de579e6b13" xmlns:ns3="b330d867-d2bc-4c43-8a0d-2a696331bf92" targetNamespace="http://schemas.microsoft.com/office/2006/metadata/properties" ma:root="true" ma:fieldsID="be2627a387932021ea83ffb60a2d6a5b" ns2:_="" ns3:_="">
    <xsd:import namespace="8e49a796-f2f7-4eea-8774-56de579e6b13"/>
    <xsd:import namespace="b330d867-d2bc-4c43-8a0d-2a696331bf92"/>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49a796-f2f7-4eea-8774-56de579e6b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8ff62593-b918-4deb-ac08-0d74ac0cc7e6"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30d867-d2bc-4c43-8a0d-2a696331bf9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b916f8fc-ee90-4392-970c-1deb8a3faf74}" ma:internalName="TaxCatchAll" ma:showField="CatchAllData" ma:web="b330d867-d2bc-4c43-8a0d-2a696331bf92">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b330d867-d2bc-4c43-8a0d-2a696331bf92">
      <UserInfo>
        <DisplayName/>
        <AccountId xsi:nil="true"/>
        <AccountType/>
      </UserInfo>
    </SharedWithUsers>
    <lcf76f155ced4ddcb4097134ff3c332f xmlns="8e49a796-f2f7-4eea-8774-56de579e6b13">
      <Terms xmlns="http://schemas.microsoft.com/office/infopath/2007/PartnerControls"/>
    </lcf76f155ced4ddcb4097134ff3c332f>
    <TaxCatchAll xmlns="b330d867-d2bc-4c43-8a0d-2a696331bf92" xsi:nil="true"/>
  </documentManagement>
</p:properti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90F7D594-2ECF-4933-A899-08372C6B97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49a796-f2f7-4eea-8774-56de579e6b13"/>
    <ds:schemaRef ds:uri="b330d867-d2bc-4c43-8a0d-2a696331bf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B3ABC2-D299-40A3-B955-E5C34121EC15}">
  <ds:schemaRefs>
    <ds:schemaRef ds:uri="http://schemas.microsoft.com/sharepoint/v3/contenttype/forms"/>
  </ds:schemaRefs>
</ds:datastoreItem>
</file>

<file path=customXml/itemProps3.xml><?xml version="1.0" encoding="utf-8"?>
<ds:datastoreItem xmlns:ds="http://schemas.openxmlformats.org/officeDocument/2006/customXml" ds:itemID="{A93F68CF-1BA0-4CB5-B3C9-E09F9AD01A40}">
  <ds:schemaRefs>
    <ds:schemaRef ds:uri="http://schemas.openxmlformats.org/officeDocument/2006/bibliography"/>
  </ds:schemaRefs>
</ds:datastoreItem>
</file>

<file path=customXml/itemProps4.xml><?xml version="1.0" encoding="utf-8"?>
<ds:datastoreItem xmlns:ds="http://schemas.openxmlformats.org/officeDocument/2006/customXml" ds:itemID="{A982AA22-BD81-4AEE-9CCC-02B8516B4741}">
  <ds:schemaRefs>
    <ds:schemaRef ds:uri="http://schemas.microsoft.com/office/2006/metadata/properties"/>
    <ds:schemaRef ds:uri="http://schemas.microsoft.com/office/infopath/2007/PartnerControls"/>
    <ds:schemaRef ds:uri="b330d867-d2bc-4c43-8a0d-2a696331bf92"/>
    <ds:schemaRef ds:uri="8e49a796-f2f7-4eea-8774-56de579e6b13"/>
  </ds:schemaRefs>
</ds:datastoreItem>
</file>

<file path=customXml/itemProps5.xml><?xml version="1.0" encoding="utf-8"?>
<ds:datastoreItem xmlns:ds="http://schemas.openxmlformats.org/officeDocument/2006/customXml" ds:itemID="{E030B583-52D5-4549-9E95-0D044E741AEF}">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14</Pages>
  <Words>4854</Words>
  <Characters>27672</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USDA/ERS</Company>
  <LinksUpToDate>false</LinksUpToDate>
  <CharactersWithSpaces>32462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Margaret Andrews</dc:creator>
  <cp:lastModifiedBy>Parker, Julie - REE-ERS</cp:lastModifiedBy>
  <cp:revision>8</cp:revision>
  <cp:lastPrinted>2015-09-28T23:01:00Z</cp:lastPrinted>
  <dcterms:created xsi:type="dcterms:W3CDTF">2024-12-09T20:23:00Z</dcterms:created>
  <dcterms:modified xsi:type="dcterms:W3CDTF">2025-03-14T12:06:00Z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0x010100D3A564BFDED01044B279E2572E2E4F29</vt:lpwstr>
  </property>
  <property fmtid="{D5CDD505-2E9C-101B-9397-08002B2CF9AE}" pid="4" name="display_urn:schemas-microsoft-com:office:office#Author">
    <vt:lpwstr>Trevelyan, Edward (CTR) - REE-ERS</vt:lpwstr>
  </property>
  <property fmtid="{D5CDD505-2E9C-101B-9397-08002B2CF9AE}" pid="5" name="display_urn:schemas-microsoft-com:office:office#Editor">
    <vt:lpwstr>Trevelyan, Edward (CTR) - REE-ERS</vt:lpwstr>
  </property>
  <property fmtid="{D5CDD505-2E9C-101B-9397-08002B2CF9AE}" pid="6" name="Order">
    <vt:lpwstr>131000.000000000</vt:lpwstr>
  </property>
  <property fmtid="{D5CDD505-2E9C-101B-9397-08002B2CF9AE}" pid="7" name="SharedWithUsers">
    <vt:lpwstr/>
  </property>
  <property fmtid="{D5CDD505-2E9C-101B-9397-08002B2CF9AE}" pid="8" name="TriggerFlowInfo">
    <vt:lpwstr/>
  </property>
  <property fmtid="{D5CDD505-2E9C-101B-9397-08002B2CF9AE}" pid="9" name="_ExtendedDescription">
    <vt:lpwstr/>
  </property>
  <property fmtid="{D5CDD505-2E9C-101B-9397-08002B2CF9AE}" pid="10" name="_NewReviewCycle">
    <vt:lpwstr/>
  </property>
</Properties>
</file>