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588C" w:rsidRDefault="00E9588C" w:rsidP="00956B9D">
      <w:pPr>
        <w:rPr>
          <w:rFonts w:ascii="Arial" w:hAnsi="Arial" w:cs="Arial"/>
          <w:b/>
          <w:szCs w:val="24"/>
        </w:rPr>
      </w:pPr>
    </w:p>
    <w:p w:rsidR="00EA2229" w:rsidRPr="00E9588C" w:rsidRDefault="00BF70FB" w:rsidP="00956B9D">
      <w:pPr>
        <w:rPr>
          <w:rFonts w:ascii="Arial" w:hAnsi="Arial" w:cs="Arial"/>
          <w:szCs w:val="24"/>
        </w:rPr>
      </w:pPr>
      <w:r>
        <w:rPr>
          <w:rFonts w:ascii="Arial" w:hAnsi="Arial" w:cs="Arial"/>
          <w:b/>
          <w:szCs w:val="24"/>
        </w:rPr>
        <w:t>Review</w:t>
      </w:r>
      <w:r w:rsidR="00EA2229" w:rsidRPr="00E9588C">
        <w:rPr>
          <w:rFonts w:ascii="Arial" w:hAnsi="Arial" w:cs="Arial"/>
          <w:b/>
          <w:szCs w:val="24"/>
        </w:rPr>
        <w:t xml:space="preserve"> Title:</w:t>
      </w:r>
      <w:r w:rsidR="00EA2229" w:rsidRPr="00E9588C">
        <w:rPr>
          <w:rFonts w:ascii="Arial" w:hAnsi="Arial" w:cs="Arial"/>
          <w:szCs w:val="24"/>
        </w:rPr>
        <w:t xml:space="preserve"> </w:t>
      </w:r>
      <w:r w:rsidR="00BF3B3E">
        <w:rPr>
          <w:rFonts w:ascii="Arial" w:hAnsi="Arial" w:cs="Arial"/>
          <w:szCs w:val="24"/>
        </w:rPr>
        <w:t>CTR</w:t>
      </w:r>
      <w:r w:rsidR="00AF4B72">
        <w:rPr>
          <w:rFonts w:ascii="Arial" w:hAnsi="Arial" w:cs="Arial"/>
          <w:szCs w:val="24"/>
        </w:rPr>
        <w:t xml:space="preserve"> </w:t>
      </w:r>
      <w:r w:rsidR="001D3147">
        <w:rPr>
          <w:rFonts w:ascii="Arial" w:hAnsi="Arial" w:cs="Arial"/>
          <w:szCs w:val="24"/>
        </w:rPr>
        <w:t>Data Elements</w:t>
      </w:r>
    </w:p>
    <w:p w:rsidR="00EA2229" w:rsidRPr="00E9588C" w:rsidRDefault="00EA2229" w:rsidP="00956B9D">
      <w:pPr>
        <w:rPr>
          <w:rFonts w:ascii="Arial" w:hAnsi="Arial" w:cs="Arial"/>
          <w:szCs w:val="24"/>
        </w:rPr>
      </w:pPr>
    </w:p>
    <w:p w:rsidR="00956B9D" w:rsidRPr="00E9588C" w:rsidRDefault="00EA2229" w:rsidP="00956B9D">
      <w:pPr>
        <w:rPr>
          <w:rFonts w:ascii="Arial" w:hAnsi="Arial" w:cs="Arial"/>
          <w:szCs w:val="24"/>
        </w:rPr>
      </w:pPr>
      <w:r w:rsidRPr="00E9588C">
        <w:rPr>
          <w:rFonts w:ascii="Arial" w:hAnsi="Arial" w:cs="Arial"/>
          <w:b/>
          <w:szCs w:val="24"/>
        </w:rPr>
        <w:t>Review Organization:</w:t>
      </w:r>
      <w:r w:rsidRPr="00E9588C">
        <w:rPr>
          <w:rFonts w:ascii="Arial" w:hAnsi="Arial" w:cs="Arial"/>
          <w:szCs w:val="24"/>
        </w:rPr>
        <w:t xml:space="preserve">  </w:t>
      </w:r>
      <w:r w:rsidR="007C6790">
        <w:rPr>
          <w:rFonts w:ascii="Arial" w:hAnsi="Arial" w:cs="Arial"/>
          <w:szCs w:val="24"/>
        </w:rPr>
        <w:t xml:space="preserve">Public Comment – Federal </w:t>
      </w:r>
      <w:r w:rsidR="00B13059">
        <w:rPr>
          <w:rFonts w:ascii="Arial" w:hAnsi="Arial" w:cs="Arial"/>
          <w:szCs w:val="24"/>
        </w:rPr>
        <w:t>Registry</w:t>
      </w:r>
    </w:p>
    <w:p w:rsidR="00EA2229" w:rsidRPr="00E9588C" w:rsidRDefault="00EA2229" w:rsidP="00453377">
      <w:pPr>
        <w:rPr>
          <w:rFonts w:ascii="Arial" w:hAnsi="Arial" w:cs="Arial"/>
          <w:b/>
          <w:szCs w:val="24"/>
        </w:rPr>
      </w:pPr>
    </w:p>
    <w:p w:rsidR="00AE1BC2" w:rsidRDefault="00AE1BC2" w:rsidP="00453377">
      <w:pPr>
        <w:rPr>
          <w:rFonts w:ascii="Arial" w:hAnsi="Arial" w:cs="Arial"/>
          <w:szCs w:val="24"/>
        </w:rPr>
      </w:pPr>
      <w:r w:rsidRPr="00E9588C">
        <w:rPr>
          <w:rFonts w:ascii="Arial" w:hAnsi="Arial" w:cs="Arial"/>
          <w:b/>
          <w:szCs w:val="24"/>
        </w:rPr>
        <w:t>Review Time Period:</w:t>
      </w:r>
      <w:r w:rsidRPr="00E9588C">
        <w:rPr>
          <w:rFonts w:ascii="Arial" w:hAnsi="Arial" w:cs="Arial"/>
          <w:szCs w:val="24"/>
        </w:rPr>
        <w:t xml:space="preserve"> </w:t>
      </w:r>
      <w:r w:rsidR="00D81CDE">
        <w:rPr>
          <w:rFonts w:ascii="Arial" w:hAnsi="Arial" w:cs="Arial"/>
          <w:szCs w:val="24"/>
        </w:rPr>
        <w:t>April</w:t>
      </w:r>
      <w:r w:rsidR="00BF3B3E">
        <w:rPr>
          <w:rFonts w:ascii="Arial" w:hAnsi="Arial" w:cs="Arial"/>
          <w:szCs w:val="24"/>
        </w:rPr>
        <w:t xml:space="preserve"> 201</w:t>
      </w:r>
      <w:r w:rsidR="00D81CDE">
        <w:rPr>
          <w:rFonts w:ascii="Arial" w:hAnsi="Arial" w:cs="Arial"/>
          <w:szCs w:val="24"/>
        </w:rPr>
        <w:t>6</w:t>
      </w:r>
      <w:r w:rsidR="001D3147">
        <w:rPr>
          <w:rFonts w:ascii="Arial" w:hAnsi="Arial" w:cs="Arial"/>
          <w:szCs w:val="24"/>
        </w:rPr>
        <w:t xml:space="preserve"> </w:t>
      </w:r>
    </w:p>
    <w:p w:rsidR="00AF4B72" w:rsidRPr="00E9588C" w:rsidRDefault="00AF4B72" w:rsidP="00453377">
      <w:pPr>
        <w:rPr>
          <w:rFonts w:ascii="Arial" w:hAnsi="Arial" w:cs="Arial"/>
          <w:szCs w:val="24"/>
        </w:rPr>
      </w:pPr>
    </w:p>
    <w:p w:rsidR="000F2648" w:rsidRPr="00E9588C" w:rsidRDefault="00EA2229" w:rsidP="00453377">
      <w:pPr>
        <w:rPr>
          <w:rFonts w:ascii="Arial" w:hAnsi="Arial" w:cs="Arial"/>
          <w:b/>
          <w:szCs w:val="24"/>
        </w:rPr>
      </w:pPr>
      <w:r w:rsidRPr="00E9588C">
        <w:rPr>
          <w:rFonts w:ascii="Arial" w:hAnsi="Arial" w:cs="Arial"/>
          <w:b/>
          <w:szCs w:val="24"/>
        </w:rPr>
        <w:t xml:space="preserve">Review </w:t>
      </w:r>
      <w:r w:rsidR="00AE1BC2" w:rsidRPr="00E9588C">
        <w:rPr>
          <w:rFonts w:ascii="Arial" w:hAnsi="Arial" w:cs="Arial"/>
          <w:b/>
          <w:szCs w:val="24"/>
        </w:rPr>
        <w:t>Team Members:</w:t>
      </w:r>
      <w:r w:rsidR="00AF4B72">
        <w:rPr>
          <w:rFonts w:ascii="Arial" w:hAnsi="Arial" w:cs="Arial"/>
          <w:b/>
          <w:szCs w:val="24"/>
        </w:rPr>
        <w:t xml:space="preserve"> </w:t>
      </w:r>
    </w:p>
    <w:tbl>
      <w:tblPr>
        <w:tblW w:w="0" w:type="auto"/>
        <w:tblLook w:val="04A0" w:firstRow="1" w:lastRow="0" w:firstColumn="1" w:lastColumn="0" w:noHBand="0" w:noVBand="1"/>
      </w:tblPr>
      <w:tblGrid>
        <w:gridCol w:w="4338"/>
        <w:gridCol w:w="3510"/>
      </w:tblGrid>
      <w:tr w:rsidR="000F2648" w:rsidRPr="00E9588C" w:rsidTr="0010047A">
        <w:trPr>
          <w:trHeight w:val="253"/>
        </w:trPr>
        <w:tc>
          <w:tcPr>
            <w:tcW w:w="4338" w:type="dxa"/>
            <w:shd w:val="clear" w:color="auto" w:fill="FFFFFF"/>
          </w:tcPr>
          <w:p w:rsidR="00B134D8" w:rsidRPr="00E9588C" w:rsidRDefault="00B134D8" w:rsidP="00B134D8">
            <w:pPr>
              <w:pStyle w:val="ListParagraph"/>
              <w:numPr>
                <w:ilvl w:val="0"/>
                <w:numId w:val="3"/>
              </w:numPr>
              <w:ind w:left="360"/>
              <w:rPr>
                <w:rFonts w:ascii="Arial" w:hAnsi="Arial" w:cs="Arial"/>
                <w:szCs w:val="24"/>
              </w:rPr>
            </w:pPr>
          </w:p>
        </w:tc>
        <w:tc>
          <w:tcPr>
            <w:tcW w:w="3510" w:type="dxa"/>
            <w:shd w:val="clear" w:color="auto" w:fill="FFFFFF"/>
          </w:tcPr>
          <w:p w:rsidR="00B134D8" w:rsidRPr="00E9588C" w:rsidRDefault="00B134D8" w:rsidP="00B134D8">
            <w:pPr>
              <w:ind w:left="720"/>
              <w:rPr>
                <w:rFonts w:ascii="Arial" w:hAnsi="Arial" w:cs="Arial"/>
                <w:szCs w:val="24"/>
              </w:rPr>
            </w:pPr>
          </w:p>
        </w:tc>
      </w:tr>
    </w:tbl>
    <w:p w:rsidR="00956B9D" w:rsidRPr="00E9588C" w:rsidRDefault="00956B9D">
      <w:pPr>
        <w:pStyle w:val="ListParagraph"/>
        <w:ind w:left="0"/>
        <w:rPr>
          <w:rFonts w:ascii="Arial" w:hAnsi="Arial" w:cs="Arial"/>
          <w:b/>
          <w:szCs w:val="24"/>
        </w:rPr>
      </w:pPr>
    </w:p>
    <w:p w:rsidR="00E10E2A" w:rsidRPr="00E9588C" w:rsidRDefault="003C523D">
      <w:pPr>
        <w:pStyle w:val="ListParagraph"/>
        <w:ind w:left="0"/>
        <w:rPr>
          <w:rFonts w:ascii="Arial" w:hAnsi="Arial" w:cs="Arial"/>
          <w:b/>
          <w:szCs w:val="24"/>
        </w:rPr>
      </w:pPr>
      <w:r w:rsidRPr="00E9588C">
        <w:rPr>
          <w:rFonts w:ascii="Arial" w:hAnsi="Arial" w:cs="Arial"/>
          <w:b/>
          <w:szCs w:val="24"/>
        </w:rPr>
        <w:t>Other Meeting Attendees:</w:t>
      </w:r>
    </w:p>
    <w:tbl>
      <w:tblPr>
        <w:tblW w:w="0" w:type="auto"/>
        <w:tblLook w:val="04A0" w:firstRow="1" w:lastRow="0" w:firstColumn="1" w:lastColumn="0" w:noHBand="0" w:noVBand="1"/>
      </w:tblPr>
      <w:tblGrid>
        <w:gridCol w:w="4338"/>
        <w:gridCol w:w="3510"/>
      </w:tblGrid>
      <w:tr w:rsidR="000F2648" w:rsidRPr="00E9588C" w:rsidTr="0010047A">
        <w:tc>
          <w:tcPr>
            <w:tcW w:w="4338" w:type="dxa"/>
          </w:tcPr>
          <w:p w:rsidR="000F2648" w:rsidRPr="00E9588C" w:rsidRDefault="00956B9D" w:rsidP="0010047A">
            <w:pPr>
              <w:pStyle w:val="ListParagraph"/>
              <w:numPr>
                <w:ilvl w:val="0"/>
                <w:numId w:val="3"/>
              </w:numPr>
              <w:ind w:left="360"/>
              <w:rPr>
                <w:rFonts w:ascii="Arial" w:hAnsi="Arial" w:cs="Arial"/>
                <w:szCs w:val="24"/>
              </w:rPr>
            </w:pPr>
            <w:r w:rsidRPr="00E9588C">
              <w:rPr>
                <w:rFonts w:ascii="Arial" w:hAnsi="Arial" w:cs="Arial"/>
                <w:szCs w:val="24"/>
              </w:rPr>
              <w:t>N/A</w:t>
            </w:r>
          </w:p>
        </w:tc>
        <w:tc>
          <w:tcPr>
            <w:tcW w:w="3510" w:type="dxa"/>
          </w:tcPr>
          <w:p w:rsidR="000F2648" w:rsidRPr="00E9588C" w:rsidRDefault="000F2648" w:rsidP="007C6790">
            <w:pPr>
              <w:pStyle w:val="ListParagraph"/>
              <w:rPr>
                <w:rFonts w:ascii="Arial" w:hAnsi="Arial" w:cs="Arial"/>
                <w:szCs w:val="24"/>
              </w:rPr>
            </w:pPr>
          </w:p>
        </w:tc>
      </w:tr>
    </w:tbl>
    <w:p w:rsidR="00956B9D" w:rsidRPr="00E9588C" w:rsidRDefault="00956B9D" w:rsidP="00453377">
      <w:pPr>
        <w:rPr>
          <w:rFonts w:ascii="Arial" w:hAnsi="Arial" w:cs="Arial"/>
          <w:b/>
          <w:szCs w:val="24"/>
        </w:rPr>
      </w:pPr>
    </w:p>
    <w:p w:rsidR="00AE1BC2" w:rsidRPr="00E9588C" w:rsidRDefault="00BF70FB" w:rsidP="00453377">
      <w:pPr>
        <w:rPr>
          <w:rFonts w:ascii="Arial" w:hAnsi="Arial" w:cs="Arial"/>
          <w:b/>
          <w:szCs w:val="24"/>
        </w:rPr>
      </w:pPr>
      <w:r>
        <w:rPr>
          <w:rFonts w:ascii="Arial" w:hAnsi="Arial" w:cs="Arial"/>
          <w:b/>
          <w:szCs w:val="24"/>
        </w:rPr>
        <w:t>Work Products</w:t>
      </w:r>
      <w:r w:rsidR="00AE1BC2" w:rsidRPr="00E9588C">
        <w:rPr>
          <w:rFonts w:ascii="Arial" w:hAnsi="Arial" w:cs="Arial"/>
          <w:b/>
          <w:szCs w:val="24"/>
        </w:rPr>
        <w:t xml:space="preserve"> Reviewed:</w:t>
      </w:r>
    </w:p>
    <w:tbl>
      <w:tblPr>
        <w:tblW w:w="14148" w:type="dxa"/>
        <w:tblLook w:val="04A0" w:firstRow="1" w:lastRow="0" w:firstColumn="1" w:lastColumn="0" w:noHBand="0" w:noVBand="1"/>
      </w:tblPr>
      <w:tblGrid>
        <w:gridCol w:w="7938"/>
        <w:gridCol w:w="6210"/>
      </w:tblGrid>
      <w:tr w:rsidR="00AF4B72" w:rsidRPr="00E9588C" w:rsidTr="00956B9D">
        <w:tc>
          <w:tcPr>
            <w:tcW w:w="7938" w:type="dxa"/>
          </w:tcPr>
          <w:p w:rsidR="00AF4B72" w:rsidRDefault="00BA062F" w:rsidP="004943FE">
            <w:pPr>
              <w:pStyle w:val="ListParagraph"/>
              <w:numPr>
                <w:ilvl w:val="0"/>
                <w:numId w:val="6"/>
              </w:numPr>
              <w:rPr>
                <w:rFonts w:ascii="Arial" w:hAnsi="Arial" w:cs="Arial"/>
                <w:szCs w:val="24"/>
              </w:rPr>
            </w:pPr>
            <w:r>
              <w:rPr>
                <w:rFonts w:ascii="Arial" w:hAnsi="Arial" w:cs="Arial"/>
                <w:szCs w:val="24"/>
              </w:rPr>
              <w:t xml:space="preserve">CTR </w:t>
            </w:r>
            <w:r w:rsidR="00AF4B72">
              <w:rPr>
                <w:rFonts w:ascii="Arial" w:hAnsi="Arial" w:cs="Arial"/>
                <w:szCs w:val="24"/>
              </w:rPr>
              <w:t xml:space="preserve"> </w:t>
            </w:r>
            <w:r w:rsidR="007C6790">
              <w:rPr>
                <w:rFonts w:ascii="Arial" w:hAnsi="Arial" w:cs="Arial"/>
                <w:szCs w:val="24"/>
              </w:rPr>
              <w:t>Data Elements</w:t>
            </w:r>
          </w:p>
        </w:tc>
        <w:tc>
          <w:tcPr>
            <w:tcW w:w="6210" w:type="dxa"/>
          </w:tcPr>
          <w:p w:rsidR="00AF4B72" w:rsidRDefault="00AF4B72" w:rsidP="007C6790">
            <w:pPr>
              <w:pStyle w:val="ListParagraph"/>
              <w:rPr>
                <w:rFonts w:ascii="Arial" w:hAnsi="Arial" w:cs="Arial"/>
                <w:szCs w:val="24"/>
              </w:rPr>
            </w:pPr>
          </w:p>
        </w:tc>
      </w:tr>
    </w:tbl>
    <w:p w:rsidR="00AE1BC2" w:rsidRPr="00956B9D" w:rsidRDefault="00AE1BC2" w:rsidP="00453377">
      <w:pPr>
        <w:rPr>
          <w:sz w:val="20"/>
        </w:rPr>
      </w:pPr>
    </w:p>
    <w:tbl>
      <w:tblPr>
        <w:tblW w:w="14400" w:type="dxa"/>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9" w:type="dxa"/>
          <w:left w:w="115" w:type="dxa"/>
          <w:bottom w:w="29" w:type="dxa"/>
          <w:right w:w="115" w:type="dxa"/>
        </w:tblCellMar>
        <w:tblLook w:val="04A0" w:firstRow="1" w:lastRow="0" w:firstColumn="1" w:lastColumn="0" w:noHBand="0" w:noVBand="1"/>
      </w:tblPr>
      <w:tblGrid>
        <w:gridCol w:w="780"/>
        <w:gridCol w:w="4030"/>
        <w:gridCol w:w="1062"/>
        <w:gridCol w:w="4236"/>
        <w:gridCol w:w="4292"/>
      </w:tblGrid>
      <w:tr w:rsidR="00CB630A" w:rsidRPr="00CB630A" w:rsidTr="0080583E">
        <w:trPr>
          <w:tblHeader/>
        </w:trPr>
        <w:tc>
          <w:tcPr>
            <w:tcW w:w="780" w:type="dxa"/>
            <w:shd w:val="clear" w:color="auto" w:fill="CCCCFF"/>
          </w:tcPr>
          <w:p w:rsidR="000F2648" w:rsidRPr="00CB630A" w:rsidRDefault="000F2648" w:rsidP="0080583E">
            <w:pPr>
              <w:jc w:val="both"/>
              <w:rPr>
                <w:rFonts w:ascii="Arial" w:hAnsi="Arial" w:cs="Arial"/>
                <w:b/>
                <w:sz w:val="20"/>
                <w:szCs w:val="20"/>
              </w:rPr>
            </w:pPr>
            <w:bookmarkStart w:id="0" w:name="OLE_LINK1"/>
          </w:p>
        </w:tc>
        <w:tc>
          <w:tcPr>
            <w:tcW w:w="4030" w:type="dxa"/>
            <w:shd w:val="clear" w:color="auto" w:fill="CCCCFF"/>
          </w:tcPr>
          <w:p w:rsidR="000F2648" w:rsidRPr="00CB630A" w:rsidRDefault="000F2648" w:rsidP="00D40304">
            <w:pPr>
              <w:jc w:val="center"/>
              <w:rPr>
                <w:rFonts w:ascii="Arial" w:hAnsi="Arial" w:cs="Arial"/>
                <w:b/>
                <w:sz w:val="20"/>
                <w:szCs w:val="20"/>
              </w:rPr>
            </w:pPr>
            <w:r w:rsidRPr="00CB630A">
              <w:rPr>
                <w:rFonts w:ascii="Arial" w:hAnsi="Arial" w:cs="Arial"/>
                <w:b/>
                <w:sz w:val="20"/>
                <w:szCs w:val="20"/>
              </w:rPr>
              <w:t>Recommend</w:t>
            </w:r>
            <w:r w:rsidR="009A1E5D" w:rsidRPr="00CB630A">
              <w:rPr>
                <w:rFonts w:ascii="Arial" w:hAnsi="Arial" w:cs="Arial"/>
                <w:b/>
                <w:sz w:val="20"/>
                <w:szCs w:val="20"/>
              </w:rPr>
              <w:t xml:space="preserve">ed </w:t>
            </w:r>
            <w:r w:rsidR="00100266" w:rsidRPr="00CB630A">
              <w:rPr>
                <w:rFonts w:ascii="Arial" w:hAnsi="Arial" w:cs="Arial"/>
                <w:b/>
                <w:sz w:val="20"/>
                <w:szCs w:val="20"/>
              </w:rPr>
              <w:t>Improvements</w:t>
            </w:r>
            <w:r w:rsidR="009A1E5D" w:rsidRPr="00CB630A">
              <w:rPr>
                <w:rFonts w:ascii="Arial" w:hAnsi="Arial" w:cs="Arial"/>
                <w:b/>
                <w:sz w:val="20"/>
                <w:szCs w:val="20"/>
              </w:rPr>
              <w:t xml:space="preserve"> </w:t>
            </w:r>
            <w:r w:rsidR="00E9588C" w:rsidRPr="00CB630A">
              <w:rPr>
                <w:rFonts w:ascii="Arial" w:hAnsi="Arial" w:cs="Arial"/>
                <w:b/>
                <w:sz w:val="20"/>
                <w:szCs w:val="20"/>
              </w:rPr>
              <w:t>to Work Product</w:t>
            </w:r>
            <w:r w:rsidR="00BB489E" w:rsidRPr="00CB630A">
              <w:rPr>
                <w:rStyle w:val="FootnoteReference"/>
                <w:rFonts w:ascii="Arial" w:hAnsi="Arial" w:cs="Arial"/>
                <w:b/>
                <w:sz w:val="20"/>
                <w:szCs w:val="20"/>
              </w:rPr>
              <w:footnoteReference w:id="1"/>
            </w:r>
          </w:p>
        </w:tc>
        <w:tc>
          <w:tcPr>
            <w:tcW w:w="1062" w:type="dxa"/>
            <w:shd w:val="clear" w:color="auto" w:fill="CCCCFF"/>
          </w:tcPr>
          <w:p w:rsidR="000F2648" w:rsidRPr="00CB630A" w:rsidRDefault="000F2648" w:rsidP="00D40304">
            <w:pPr>
              <w:jc w:val="center"/>
              <w:rPr>
                <w:rFonts w:ascii="Arial" w:hAnsi="Arial" w:cs="Arial"/>
                <w:b/>
                <w:sz w:val="20"/>
                <w:szCs w:val="20"/>
              </w:rPr>
            </w:pPr>
            <w:r w:rsidRPr="00CB630A">
              <w:rPr>
                <w:rFonts w:ascii="Arial" w:hAnsi="Arial" w:cs="Arial"/>
                <w:b/>
                <w:sz w:val="20"/>
                <w:szCs w:val="20"/>
              </w:rPr>
              <w:t>Date</w:t>
            </w:r>
          </w:p>
        </w:tc>
        <w:tc>
          <w:tcPr>
            <w:tcW w:w="4236" w:type="dxa"/>
            <w:shd w:val="clear" w:color="auto" w:fill="CCCCFF"/>
          </w:tcPr>
          <w:p w:rsidR="000F2648" w:rsidRPr="00CB630A" w:rsidRDefault="000F2648" w:rsidP="00D40304">
            <w:pPr>
              <w:jc w:val="center"/>
              <w:rPr>
                <w:rFonts w:ascii="Arial" w:hAnsi="Arial" w:cs="Arial"/>
                <w:b/>
                <w:sz w:val="20"/>
                <w:szCs w:val="20"/>
              </w:rPr>
            </w:pPr>
            <w:r w:rsidRPr="00CB630A">
              <w:rPr>
                <w:rFonts w:ascii="Arial" w:hAnsi="Arial" w:cs="Arial"/>
                <w:b/>
                <w:sz w:val="20"/>
                <w:szCs w:val="20"/>
              </w:rPr>
              <w:t>Disposition</w:t>
            </w:r>
            <w:r w:rsidR="00260306" w:rsidRPr="00CB630A">
              <w:rPr>
                <w:rStyle w:val="FootnoteReference"/>
                <w:rFonts w:ascii="Arial" w:hAnsi="Arial" w:cs="Arial"/>
                <w:b/>
                <w:sz w:val="20"/>
                <w:szCs w:val="20"/>
              </w:rPr>
              <w:footnoteReference w:id="2"/>
            </w:r>
          </w:p>
        </w:tc>
        <w:tc>
          <w:tcPr>
            <w:tcW w:w="4292" w:type="dxa"/>
            <w:shd w:val="clear" w:color="auto" w:fill="CCCCFF"/>
          </w:tcPr>
          <w:p w:rsidR="000F2648" w:rsidRPr="00CB630A" w:rsidRDefault="00FF6928" w:rsidP="00260306">
            <w:pPr>
              <w:jc w:val="center"/>
              <w:rPr>
                <w:rFonts w:ascii="Arial" w:hAnsi="Arial" w:cs="Arial"/>
                <w:b/>
                <w:sz w:val="20"/>
                <w:szCs w:val="20"/>
              </w:rPr>
            </w:pPr>
            <w:r w:rsidRPr="00CB630A">
              <w:rPr>
                <w:rFonts w:ascii="Arial" w:hAnsi="Arial" w:cs="Arial"/>
                <w:b/>
                <w:sz w:val="20"/>
                <w:szCs w:val="20"/>
              </w:rPr>
              <w:t xml:space="preserve">Specific </w:t>
            </w:r>
            <w:r w:rsidR="007C0156" w:rsidRPr="00CB630A">
              <w:rPr>
                <w:rFonts w:ascii="Arial" w:hAnsi="Arial" w:cs="Arial"/>
                <w:b/>
                <w:sz w:val="20"/>
                <w:szCs w:val="20"/>
              </w:rPr>
              <w:t>Work Product/Section/Part/Item Number</w:t>
            </w:r>
            <w:r w:rsidRPr="00CB630A">
              <w:rPr>
                <w:rFonts w:ascii="Arial" w:hAnsi="Arial" w:cs="Arial"/>
                <w:b/>
                <w:sz w:val="20"/>
                <w:szCs w:val="20"/>
              </w:rPr>
              <w:t xml:space="preserve"> Modified</w:t>
            </w:r>
            <w:r w:rsidR="00260306" w:rsidRPr="00CB630A">
              <w:rPr>
                <w:rStyle w:val="FootnoteReference"/>
                <w:rFonts w:ascii="Arial" w:hAnsi="Arial" w:cs="Arial"/>
                <w:b/>
                <w:sz w:val="20"/>
                <w:szCs w:val="20"/>
              </w:rPr>
              <w:footnoteReference w:id="3"/>
            </w:r>
          </w:p>
        </w:tc>
      </w:tr>
      <w:tr w:rsidR="00A52AD1" w:rsidRPr="00CB630A" w:rsidTr="0080583E">
        <w:tc>
          <w:tcPr>
            <w:tcW w:w="780" w:type="dxa"/>
          </w:tcPr>
          <w:p w:rsidR="00A52AD1" w:rsidRPr="0080583E" w:rsidRDefault="00A52AD1" w:rsidP="0080583E">
            <w:pPr>
              <w:pStyle w:val="ListParagraph"/>
              <w:numPr>
                <w:ilvl w:val="0"/>
                <w:numId w:val="44"/>
              </w:numPr>
              <w:jc w:val="both"/>
              <w:rPr>
                <w:rFonts w:ascii="Arial" w:hAnsi="Arial" w:cs="Arial"/>
                <w:sz w:val="20"/>
                <w:szCs w:val="20"/>
              </w:rPr>
            </w:pPr>
          </w:p>
        </w:tc>
        <w:tc>
          <w:tcPr>
            <w:tcW w:w="4030" w:type="dxa"/>
            <w:tcMar>
              <w:left w:w="86" w:type="dxa"/>
              <w:right w:w="86" w:type="dxa"/>
            </w:tcMar>
          </w:tcPr>
          <w:p w:rsidR="00A52AD1" w:rsidRDefault="00A52AD1" w:rsidP="00A52AD1">
            <w:pPr>
              <w:autoSpaceDE w:val="0"/>
              <w:autoSpaceDN w:val="0"/>
              <w:adjustRightInd w:val="0"/>
              <w:rPr>
                <w:rFonts w:ascii="Arial" w:hAnsi="Arial" w:cs="Arial"/>
                <w:sz w:val="20"/>
                <w:szCs w:val="20"/>
              </w:rPr>
            </w:pPr>
            <w:r>
              <w:rPr>
                <w:rFonts w:ascii="Arial" w:hAnsi="Arial" w:cs="Arial"/>
                <w:sz w:val="20"/>
                <w:szCs w:val="20"/>
              </w:rPr>
              <w:t xml:space="preserve">Shared Branching </w:t>
            </w:r>
          </w:p>
          <w:p w:rsidR="00A52AD1" w:rsidRDefault="00A52AD1" w:rsidP="00A52AD1">
            <w:pPr>
              <w:autoSpaceDE w:val="0"/>
              <w:autoSpaceDN w:val="0"/>
              <w:adjustRightInd w:val="0"/>
              <w:rPr>
                <w:rFonts w:ascii="Arial" w:hAnsi="Arial" w:cs="Arial"/>
                <w:sz w:val="20"/>
                <w:szCs w:val="20"/>
              </w:rPr>
            </w:pPr>
          </w:p>
          <w:p w:rsidR="00A52AD1" w:rsidRDefault="00A52AD1" w:rsidP="00A52AD1">
            <w:pPr>
              <w:autoSpaceDE w:val="0"/>
              <w:autoSpaceDN w:val="0"/>
              <w:adjustRightInd w:val="0"/>
              <w:rPr>
                <w:rFonts w:ascii="Arial" w:hAnsi="Arial" w:cs="Arial"/>
                <w:sz w:val="20"/>
                <w:szCs w:val="20"/>
              </w:rPr>
            </w:pPr>
            <w:r>
              <w:rPr>
                <w:rFonts w:ascii="Arial" w:hAnsi="Arial" w:cs="Arial"/>
                <w:sz w:val="20"/>
                <w:szCs w:val="20"/>
              </w:rPr>
              <w:t>(</w:t>
            </w:r>
            <w:r w:rsidRPr="00CB630A">
              <w:rPr>
                <w:rFonts w:ascii="Arial" w:hAnsi="Arial" w:cs="Arial"/>
                <w:sz w:val="20"/>
                <w:szCs w:val="20"/>
              </w:rPr>
              <w:t>1</w:t>
            </w:r>
            <w:r>
              <w:rPr>
                <w:rFonts w:ascii="Arial" w:hAnsi="Arial" w:cs="Arial"/>
                <w:sz w:val="20"/>
                <w:szCs w:val="20"/>
              </w:rPr>
              <w:t>)</w:t>
            </w:r>
            <w:r w:rsidRPr="00CB630A">
              <w:rPr>
                <w:rFonts w:ascii="Arial" w:hAnsi="Arial" w:cs="Arial"/>
                <w:sz w:val="20"/>
                <w:szCs w:val="20"/>
              </w:rPr>
              <w:t xml:space="preserve"> - In the “shared branching” system utilized by credit unions, the credit union where the transaction took place typically files the CTR. Value exists in the filing credit union sharing information with the member’s own credit union, so that it can rerack relevant activity to determine whether or not it is suspicious. We hope that the rule will continue to permit this sharing of information.</w:t>
            </w:r>
          </w:p>
          <w:p w:rsidR="00A52AD1" w:rsidRPr="00CB630A" w:rsidRDefault="00A52AD1" w:rsidP="00A52AD1">
            <w:pPr>
              <w:autoSpaceDE w:val="0"/>
              <w:autoSpaceDN w:val="0"/>
              <w:adjustRightInd w:val="0"/>
              <w:rPr>
                <w:rFonts w:ascii="Arial" w:hAnsi="Arial" w:cs="Arial"/>
                <w:sz w:val="20"/>
                <w:szCs w:val="20"/>
              </w:rPr>
            </w:pPr>
          </w:p>
          <w:p w:rsidR="00A52AD1" w:rsidRPr="00CB630A" w:rsidRDefault="00A52AD1" w:rsidP="00A52AD1">
            <w:pPr>
              <w:autoSpaceDE w:val="0"/>
              <w:autoSpaceDN w:val="0"/>
              <w:adjustRightInd w:val="0"/>
              <w:rPr>
                <w:rFonts w:ascii="Arial" w:hAnsi="Arial" w:cs="Arial"/>
                <w:sz w:val="20"/>
                <w:szCs w:val="20"/>
              </w:rPr>
            </w:pPr>
          </w:p>
        </w:tc>
        <w:tc>
          <w:tcPr>
            <w:tcW w:w="1062" w:type="dxa"/>
            <w:tcMar>
              <w:left w:w="86" w:type="dxa"/>
              <w:right w:w="86" w:type="dxa"/>
            </w:tcMar>
          </w:tcPr>
          <w:p w:rsidR="00A52AD1" w:rsidRPr="00CB630A" w:rsidRDefault="00A52AD1" w:rsidP="00A52AD1">
            <w:pPr>
              <w:rPr>
                <w:rFonts w:ascii="Arial" w:hAnsi="Arial" w:cs="Arial"/>
                <w:sz w:val="20"/>
                <w:szCs w:val="20"/>
              </w:rPr>
            </w:pPr>
            <w:r>
              <w:rPr>
                <w:rFonts w:ascii="Arial" w:hAnsi="Arial" w:cs="Arial"/>
                <w:sz w:val="20"/>
                <w:szCs w:val="20"/>
              </w:rPr>
              <w:t>4/2016</w:t>
            </w:r>
          </w:p>
        </w:tc>
        <w:tc>
          <w:tcPr>
            <w:tcW w:w="4236" w:type="dxa"/>
            <w:tcMar>
              <w:left w:w="86" w:type="dxa"/>
              <w:right w:w="86" w:type="dxa"/>
            </w:tcMar>
          </w:tcPr>
          <w:p w:rsidR="00A52AD1" w:rsidRPr="00CB630A" w:rsidRDefault="00C829C3" w:rsidP="00A52AD1">
            <w:pPr>
              <w:rPr>
                <w:rFonts w:ascii="Arial" w:hAnsi="Arial" w:cs="Arial"/>
                <w:sz w:val="20"/>
                <w:szCs w:val="20"/>
              </w:rPr>
            </w:pPr>
            <w:r>
              <w:rPr>
                <w:rFonts w:ascii="Arial" w:hAnsi="Arial" w:cs="Arial"/>
                <w:sz w:val="20"/>
                <w:szCs w:val="20"/>
              </w:rPr>
              <w:t>No Action Required – Yes this will still be permitted. Shared Branching was added to the form in support of the Credit Union cooperative networking activities.</w:t>
            </w:r>
            <w:r w:rsidR="004B4CA9">
              <w:rPr>
                <w:rFonts w:ascii="Arial" w:hAnsi="Arial" w:cs="Arial"/>
                <w:sz w:val="20"/>
                <w:szCs w:val="20"/>
              </w:rPr>
              <w:t xml:space="preserve"> </w:t>
            </w:r>
          </w:p>
          <w:p w:rsidR="00A52AD1" w:rsidRPr="00CB630A" w:rsidRDefault="00A52AD1" w:rsidP="00A52AD1">
            <w:pPr>
              <w:rPr>
                <w:rFonts w:ascii="Arial" w:hAnsi="Arial" w:cs="Arial"/>
                <w:sz w:val="20"/>
                <w:szCs w:val="20"/>
              </w:rPr>
            </w:pPr>
          </w:p>
        </w:tc>
        <w:tc>
          <w:tcPr>
            <w:tcW w:w="4292" w:type="dxa"/>
            <w:tcMar>
              <w:left w:w="86" w:type="dxa"/>
              <w:right w:w="86" w:type="dxa"/>
            </w:tcMar>
          </w:tcPr>
          <w:p w:rsidR="00463A7A" w:rsidRDefault="00AC037B" w:rsidP="00AC037B">
            <w:pPr>
              <w:rPr>
                <w:rFonts w:ascii="Arial" w:hAnsi="Arial" w:cs="Arial"/>
                <w:sz w:val="20"/>
                <w:szCs w:val="20"/>
              </w:rPr>
            </w:pPr>
            <w:r>
              <w:rPr>
                <w:rFonts w:ascii="Arial" w:hAnsi="Arial" w:cs="Arial"/>
                <w:sz w:val="20"/>
                <w:szCs w:val="20"/>
              </w:rPr>
              <w:t>Instructions will be clarified to provide clarification of how to use the Shared Branching Checkbox.</w:t>
            </w:r>
            <w:r w:rsidR="00463A7A">
              <w:rPr>
                <w:rFonts w:ascii="Arial" w:hAnsi="Arial" w:cs="Arial"/>
                <w:sz w:val="20"/>
                <w:szCs w:val="20"/>
              </w:rPr>
              <w:t xml:space="preserve"> </w:t>
            </w:r>
          </w:p>
          <w:p w:rsidR="00463A7A" w:rsidRDefault="00463A7A" w:rsidP="00AC037B">
            <w:pPr>
              <w:rPr>
                <w:rFonts w:ascii="Arial" w:hAnsi="Arial" w:cs="Arial"/>
                <w:sz w:val="20"/>
                <w:szCs w:val="20"/>
              </w:rPr>
            </w:pPr>
          </w:p>
          <w:p w:rsidR="00A52AD1" w:rsidRPr="00CB630A" w:rsidRDefault="00463A7A" w:rsidP="00AC037B">
            <w:pPr>
              <w:rPr>
                <w:rFonts w:ascii="Arial" w:hAnsi="Arial" w:cs="Arial"/>
                <w:sz w:val="20"/>
                <w:szCs w:val="20"/>
              </w:rPr>
            </w:pPr>
            <w:r>
              <w:rPr>
                <w:rFonts w:ascii="Arial" w:hAnsi="Arial" w:cs="Arial"/>
                <w:sz w:val="20"/>
                <w:szCs w:val="20"/>
              </w:rPr>
              <w:t>FinCEN encourages Shared Branch Agreements include sharing of CTR filing information.</w:t>
            </w:r>
          </w:p>
        </w:tc>
      </w:tr>
      <w:tr w:rsidR="00A52AD1" w:rsidRPr="00CB630A" w:rsidTr="0080583E">
        <w:tc>
          <w:tcPr>
            <w:tcW w:w="780" w:type="dxa"/>
          </w:tcPr>
          <w:p w:rsidR="00A52AD1" w:rsidRPr="0080583E" w:rsidRDefault="00A52AD1" w:rsidP="0080583E">
            <w:pPr>
              <w:pStyle w:val="ListParagraph"/>
              <w:numPr>
                <w:ilvl w:val="0"/>
                <w:numId w:val="44"/>
              </w:numPr>
              <w:jc w:val="both"/>
              <w:rPr>
                <w:rFonts w:ascii="Arial" w:hAnsi="Arial" w:cs="Arial"/>
                <w:sz w:val="20"/>
                <w:szCs w:val="20"/>
              </w:rPr>
            </w:pPr>
          </w:p>
        </w:tc>
        <w:tc>
          <w:tcPr>
            <w:tcW w:w="4030" w:type="dxa"/>
            <w:tcMar>
              <w:left w:w="86" w:type="dxa"/>
              <w:right w:w="86" w:type="dxa"/>
            </w:tcMar>
          </w:tcPr>
          <w:p w:rsidR="00A52AD1" w:rsidRDefault="00A52AD1" w:rsidP="00A52AD1">
            <w:pPr>
              <w:autoSpaceDE w:val="0"/>
              <w:autoSpaceDN w:val="0"/>
              <w:adjustRightInd w:val="0"/>
              <w:rPr>
                <w:rFonts w:ascii="Arial" w:hAnsi="Arial" w:cs="Arial"/>
                <w:bCs/>
                <w:sz w:val="20"/>
                <w:szCs w:val="20"/>
              </w:rPr>
            </w:pPr>
            <w:r>
              <w:rPr>
                <w:rFonts w:ascii="Arial" w:hAnsi="Arial" w:cs="Arial"/>
                <w:bCs/>
                <w:sz w:val="20"/>
                <w:szCs w:val="20"/>
              </w:rPr>
              <w:t>Shared Branching</w:t>
            </w:r>
          </w:p>
          <w:p w:rsidR="00A52AD1" w:rsidRDefault="00A52AD1" w:rsidP="00A52AD1">
            <w:pPr>
              <w:autoSpaceDE w:val="0"/>
              <w:autoSpaceDN w:val="0"/>
              <w:adjustRightInd w:val="0"/>
              <w:rPr>
                <w:rFonts w:ascii="Arial" w:hAnsi="Arial" w:cs="Arial"/>
                <w:bCs/>
                <w:sz w:val="20"/>
                <w:szCs w:val="20"/>
              </w:rPr>
            </w:pPr>
          </w:p>
          <w:p w:rsidR="00A52AD1" w:rsidRPr="00CB630A" w:rsidRDefault="00A52AD1" w:rsidP="00A52AD1">
            <w:pPr>
              <w:autoSpaceDE w:val="0"/>
              <w:autoSpaceDN w:val="0"/>
              <w:adjustRightInd w:val="0"/>
              <w:rPr>
                <w:rFonts w:ascii="Arial" w:hAnsi="Arial" w:cs="Arial"/>
                <w:sz w:val="20"/>
                <w:szCs w:val="20"/>
              </w:rPr>
            </w:pPr>
            <w:r>
              <w:rPr>
                <w:rFonts w:ascii="Arial" w:hAnsi="Arial" w:cs="Arial"/>
                <w:bCs/>
                <w:sz w:val="20"/>
                <w:szCs w:val="20"/>
              </w:rPr>
              <w:t>(</w:t>
            </w:r>
            <w:r w:rsidRPr="00CB630A">
              <w:rPr>
                <w:rFonts w:ascii="Arial" w:hAnsi="Arial" w:cs="Arial"/>
                <w:bCs/>
                <w:sz w:val="20"/>
                <w:szCs w:val="20"/>
              </w:rPr>
              <w:t>5</w:t>
            </w:r>
            <w:r>
              <w:rPr>
                <w:rFonts w:ascii="Arial" w:hAnsi="Arial" w:cs="Arial"/>
                <w:bCs/>
                <w:sz w:val="20"/>
                <w:szCs w:val="20"/>
              </w:rPr>
              <w:t>)</w:t>
            </w:r>
            <w:r w:rsidRPr="00CB630A">
              <w:rPr>
                <w:rFonts w:ascii="Arial" w:hAnsi="Arial" w:cs="Arial"/>
                <w:bCs/>
                <w:sz w:val="20"/>
                <w:szCs w:val="20"/>
              </w:rPr>
              <w:t xml:space="preserve"> - FinCEN should clarify that, for purposes of the proposed revisions, the term “shared branching” applies in the context of credit union cooperatives and other types of institutions that use shared branching networks. </w:t>
            </w:r>
          </w:p>
          <w:p w:rsidR="00A52AD1" w:rsidRPr="00CB630A" w:rsidRDefault="00A52AD1" w:rsidP="00A52AD1">
            <w:pPr>
              <w:autoSpaceDE w:val="0"/>
              <w:autoSpaceDN w:val="0"/>
              <w:adjustRightInd w:val="0"/>
              <w:rPr>
                <w:rFonts w:ascii="Arial" w:hAnsi="Arial" w:cs="Arial"/>
                <w:sz w:val="20"/>
                <w:szCs w:val="20"/>
              </w:rPr>
            </w:pPr>
          </w:p>
        </w:tc>
        <w:tc>
          <w:tcPr>
            <w:tcW w:w="1062" w:type="dxa"/>
            <w:tcMar>
              <w:left w:w="86" w:type="dxa"/>
              <w:right w:w="86" w:type="dxa"/>
            </w:tcMar>
          </w:tcPr>
          <w:p w:rsidR="00A52AD1" w:rsidRPr="00CB630A" w:rsidRDefault="00A52AD1" w:rsidP="00A52AD1">
            <w:pPr>
              <w:rPr>
                <w:rFonts w:ascii="Arial" w:hAnsi="Arial" w:cs="Arial"/>
                <w:sz w:val="20"/>
                <w:szCs w:val="20"/>
              </w:rPr>
            </w:pPr>
            <w:r>
              <w:rPr>
                <w:rFonts w:ascii="Arial" w:hAnsi="Arial" w:cs="Arial"/>
                <w:sz w:val="20"/>
                <w:szCs w:val="20"/>
              </w:rPr>
              <w:t>4/2016</w:t>
            </w:r>
          </w:p>
        </w:tc>
        <w:tc>
          <w:tcPr>
            <w:tcW w:w="4236" w:type="dxa"/>
            <w:tcMar>
              <w:left w:w="86" w:type="dxa"/>
              <w:right w:w="86" w:type="dxa"/>
            </w:tcMar>
          </w:tcPr>
          <w:p w:rsidR="00A52AD1" w:rsidRPr="00CB630A" w:rsidRDefault="00463A7A" w:rsidP="00A52AD1">
            <w:pPr>
              <w:autoSpaceDE w:val="0"/>
              <w:autoSpaceDN w:val="0"/>
              <w:adjustRightInd w:val="0"/>
              <w:rPr>
                <w:rFonts w:ascii="Arial" w:hAnsi="Arial" w:cs="Arial"/>
                <w:sz w:val="20"/>
                <w:szCs w:val="20"/>
              </w:rPr>
            </w:pPr>
            <w:r>
              <w:rPr>
                <w:rFonts w:ascii="Arial" w:hAnsi="Arial" w:cs="Arial"/>
                <w:sz w:val="20"/>
                <w:szCs w:val="20"/>
              </w:rPr>
              <w:t>Recommendation Accepted</w:t>
            </w:r>
          </w:p>
        </w:tc>
        <w:tc>
          <w:tcPr>
            <w:tcW w:w="4292" w:type="dxa"/>
            <w:tcMar>
              <w:left w:w="86" w:type="dxa"/>
              <w:right w:w="86" w:type="dxa"/>
            </w:tcMar>
          </w:tcPr>
          <w:p w:rsidR="00A52AD1" w:rsidRPr="00CB630A" w:rsidRDefault="00463A7A" w:rsidP="00A52AD1">
            <w:pPr>
              <w:rPr>
                <w:rFonts w:ascii="Arial" w:hAnsi="Arial" w:cs="Arial"/>
                <w:sz w:val="20"/>
                <w:szCs w:val="20"/>
                <w:highlight w:val="yellow"/>
              </w:rPr>
            </w:pPr>
            <w:r>
              <w:rPr>
                <w:rFonts w:ascii="Arial" w:hAnsi="Arial" w:cs="Arial"/>
                <w:sz w:val="20"/>
                <w:szCs w:val="20"/>
              </w:rPr>
              <w:t>Instructions will be clarified to provide clarification of how to use the Shared Branching Checkbox.</w:t>
            </w:r>
          </w:p>
        </w:tc>
      </w:tr>
      <w:tr w:rsidR="00A52AD1" w:rsidRPr="00CB630A" w:rsidTr="0080583E">
        <w:tc>
          <w:tcPr>
            <w:tcW w:w="780" w:type="dxa"/>
          </w:tcPr>
          <w:p w:rsidR="00A52AD1" w:rsidRPr="0080583E" w:rsidRDefault="00A52AD1" w:rsidP="0080583E">
            <w:pPr>
              <w:pStyle w:val="ListParagraph"/>
              <w:numPr>
                <w:ilvl w:val="0"/>
                <w:numId w:val="44"/>
              </w:numPr>
              <w:jc w:val="both"/>
              <w:rPr>
                <w:rFonts w:ascii="Arial" w:hAnsi="Arial" w:cs="Arial"/>
                <w:sz w:val="20"/>
                <w:szCs w:val="20"/>
              </w:rPr>
            </w:pPr>
          </w:p>
        </w:tc>
        <w:tc>
          <w:tcPr>
            <w:tcW w:w="4030" w:type="dxa"/>
            <w:tcMar>
              <w:left w:w="86" w:type="dxa"/>
              <w:right w:w="86" w:type="dxa"/>
            </w:tcMar>
          </w:tcPr>
          <w:p w:rsidR="00A52AD1" w:rsidRDefault="00A52AD1" w:rsidP="00A52AD1">
            <w:pPr>
              <w:autoSpaceDE w:val="0"/>
              <w:autoSpaceDN w:val="0"/>
              <w:adjustRightInd w:val="0"/>
              <w:rPr>
                <w:rFonts w:ascii="Arial" w:hAnsi="Arial" w:cs="Arial"/>
                <w:sz w:val="20"/>
                <w:szCs w:val="20"/>
              </w:rPr>
            </w:pPr>
            <w:r>
              <w:rPr>
                <w:rFonts w:ascii="Arial" w:hAnsi="Arial" w:cs="Arial"/>
                <w:sz w:val="20"/>
                <w:szCs w:val="20"/>
              </w:rPr>
              <w:t>Shared Branching</w:t>
            </w:r>
          </w:p>
          <w:p w:rsidR="00A52AD1" w:rsidRDefault="00A52AD1" w:rsidP="00A52AD1">
            <w:pPr>
              <w:autoSpaceDE w:val="0"/>
              <w:autoSpaceDN w:val="0"/>
              <w:adjustRightInd w:val="0"/>
              <w:rPr>
                <w:rFonts w:ascii="Arial" w:hAnsi="Arial" w:cs="Arial"/>
                <w:sz w:val="20"/>
                <w:szCs w:val="20"/>
              </w:rPr>
            </w:pPr>
          </w:p>
          <w:p w:rsidR="00A52AD1" w:rsidRPr="00CB630A" w:rsidRDefault="00A52AD1" w:rsidP="00A52AD1">
            <w:pPr>
              <w:autoSpaceDE w:val="0"/>
              <w:autoSpaceDN w:val="0"/>
              <w:adjustRightInd w:val="0"/>
              <w:rPr>
                <w:rFonts w:ascii="Arial" w:hAnsi="Arial" w:cs="Arial"/>
                <w:sz w:val="20"/>
                <w:szCs w:val="20"/>
              </w:rPr>
            </w:pPr>
            <w:r>
              <w:rPr>
                <w:rFonts w:ascii="Arial" w:hAnsi="Arial" w:cs="Arial"/>
                <w:sz w:val="20"/>
                <w:szCs w:val="20"/>
              </w:rPr>
              <w:t>(</w:t>
            </w:r>
            <w:r w:rsidRPr="00CB630A">
              <w:rPr>
                <w:rFonts w:ascii="Arial" w:hAnsi="Arial" w:cs="Arial"/>
                <w:sz w:val="20"/>
                <w:szCs w:val="20"/>
              </w:rPr>
              <w:t>5</w:t>
            </w:r>
            <w:r>
              <w:rPr>
                <w:rFonts w:ascii="Arial" w:hAnsi="Arial" w:cs="Arial"/>
                <w:sz w:val="20"/>
                <w:szCs w:val="20"/>
              </w:rPr>
              <w:t>)</w:t>
            </w:r>
            <w:r w:rsidRPr="00CB630A">
              <w:rPr>
                <w:rFonts w:ascii="Arial" w:hAnsi="Arial" w:cs="Arial"/>
                <w:sz w:val="20"/>
                <w:szCs w:val="20"/>
              </w:rPr>
              <w:t xml:space="preserve"> - The Clearing House is concerned that the term “shared branching,” if left undefined and not specifically limited in application to credit union cooperatives and those few financial institutions that use shared branching, could be misconstrued as applying to bank branches and their affiliates, which could significantly undermine the current technological processes and systems depository institutions and their parent companies have in place to appropriately review transactional data and provide it to FinCEN through the filing of BCTRs. Therefore, we respectfully request that FinCEN clarify that “shared branching” applies in the context of credit union cooperatives and other types of institutions that use shared branching networks, and its use in the proposal is meant to address reporting concerns associated with those particular institutions, rather than the broader population of financial entities who are subject to the BCTR filing requirement.</w:t>
            </w:r>
          </w:p>
        </w:tc>
        <w:tc>
          <w:tcPr>
            <w:tcW w:w="1062" w:type="dxa"/>
            <w:tcMar>
              <w:left w:w="86" w:type="dxa"/>
              <w:right w:w="86" w:type="dxa"/>
            </w:tcMar>
          </w:tcPr>
          <w:p w:rsidR="00A52AD1" w:rsidRPr="00CB630A" w:rsidRDefault="00A52AD1" w:rsidP="00A52AD1">
            <w:pPr>
              <w:rPr>
                <w:rFonts w:ascii="Arial" w:hAnsi="Arial" w:cs="Arial"/>
                <w:sz w:val="20"/>
                <w:szCs w:val="20"/>
              </w:rPr>
            </w:pPr>
            <w:r>
              <w:rPr>
                <w:rFonts w:ascii="Arial" w:hAnsi="Arial" w:cs="Arial"/>
                <w:sz w:val="20"/>
                <w:szCs w:val="20"/>
              </w:rPr>
              <w:t>4/2016</w:t>
            </w:r>
          </w:p>
        </w:tc>
        <w:tc>
          <w:tcPr>
            <w:tcW w:w="4236" w:type="dxa"/>
            <w:tcMar>
              <w:left w:w="86" w:type="dxa"/>
              <w:right w:w="86" w:type="dxa"/>
            </w:tcMar>
          </w:tcPr>
          <w:p w:rsidR="00A52AD1" w:rsidRPr="00CB630A" w:rsidRDefault="00463A7A" w:rsidP="00A52AD1">
            <w:pPr>
              <w:autoSpaceDE w:val="0"/>
              <w:autoSpaceDN w:val="0"/>
              <w:adjustRightInd w:val="0"/>
              <w:rPr>
                <w:rFonts w:ascii="Arial" w:hAnsi="Arial" w:cs="Arial"/>
                <w:sz w:val="20"/>
                <w:szCs w:val="20"/>
              </w:rPr>
            </w:pPr>
            <w:r>
              <w:rPr>
                <w:rFonts w:ascii="Arial" w:hAnsi="Arial" w:cs="Arial"/>
                <w:sz w:val="20"/>
                <w:szCs w:val="20"/>
              </w:rPr>
              <w:t>Recommendation Accepted</w:t>
            </w:r>
          </w:p>
        </w:tc>
        <w:tc>
          <w:tcPr>
            <w:tcW w:w="4292" w:type="dxa"/>
            <w:tcMar>
              <w:left w:w="86" w:type="dxa"/>
              <w:right w:w="86" w:type="dxa"/>
            </w:tcMar>
          </w:tcPr>
          <w:p w:rsidR="00A52AD1" w:rsidRPr="00CB630A" w:rsidRDefault="00463A7A" w:rsidP="00A52AD1">
            <w:pPr>
              <w:rPr>
                <w:rFonts w:ascii="Arial" w:hAnsi="Arial" w:cs="Arial"/>
                <w:sz w:val="20"/>
                <w:szCs w:val="20"/>
                <w:highlight w:val="yellow"/>
              </w:rPr>
            </w:pPr>
            <w:r>
              <w:rPr>
                <w:rFonts w:ascii="Arial" w:hAnsi="Arial" w:cs="Arial"/>
                <w:sz w:val="20"/>
                <w:szCs w:val="20"/>
              </w:rPr>
              <w:t>Instructions will be clarified to provide clarification of how to use the Shared Branching Checkbox.</w:t>
            </w:r>
          </w:p>
        </w:tc>
      </w:tr>
      <w:tr w:rsidR="00A52AD1" w:rsidRPr="00CB630A" w:rsidTr="0080583E">
        <w:tc>
          <w:tcPr>
            <w:tcW w:w="780" w:type="dxa"/>
          </w:tcPr>
          <w:p w:rsidR="00A52AD1" w:rsidRPr="0080583E" w:rsidRDefault="00A52AD1" w:rsidP="0080583E">
            <w:pPr>
              <w:pStyle w:val="ListParagraph"/>
              <w:numPr>
                <w:ilvl w:val="0"/>
                <w:numId w:val="44"/>
              </w:numPr>
              <w:jc w:val="both"/>
              <w:rPr>
                <w:rFonts w:ascii="Arial" w:hAnsi="Arial" w:cs="Arial"/>
                <w:sz w:val="20"/>
                <w:szCs w:val="20"/>
              </w:rPr>
            </w:pPr>
          </w:p>
        </w:tc>
        <w:tc>
          <w:tcPr>
            <w:tcW w:w="4030" w:type="dxa"/>
            <w:tcMar>
              <w:left w:w="86" w:type="dxa"/>
              <w:right w:w="86" w:type="dxa"/>
            </w:tcMar>
          </w:tcPr>
          <w:p w:rsidR="00A52AD1" w:rsidRDefault="00A52AD1" w:rsidP="00A52AD1">
            <w:pPr>
              <w:autoSpaceDE w:val="0"/>
              <w:autoSpaceDN w:val="0"/>
              <w:adjustRightInd w:val="0"/>
              <w:rPr>
                <w:rFonts w:ascii="Arial" w:hAnsi="Arial" w:cs="Arial"/>
                <w:sz w:val="20"/>
                <w:szCs w:val="20"/>
              </w:rPr>
            </w:pPr>
            <w:r>
              <w:rPr>
                <w:rFonts w:ascii="Arial" w:hAnsi="Arial" w:cs="Arial"/>
                <w:sz w:val="20"/>
                <w:szCs w:val="20"/>
              </w:rPr>
              <w:t>Shared Branching</w:t>
            </w:r>
          </w:p>
          <w:p w:rsidR="00A52AD1" w:rsidRDefault="00A52AD1" w:rsidP="00A52AD1">
            <w:pPr>
              <w:autoSpaceDE w:val="0"/>
              <w:autoSpaceDN w:val="0"/>
              <w:adjustRightInd w:val="0"/>
              <w:rPr>
                <w:rFonts w:ascii="Arial" w:hAnsi="Arial" w:cs="Arial"/>
                <w:sz w:val="20"/>
                <w:szCs w:val="20"/>
              </w:rPr>
            </w:pPr>
          </w:p>
          <w:p w:rsidR="00A52AD1" w:rsidRPr="00CB630A" w:rsidRDefault="00A52AD1" w:rsidP="00A52AD1">
            <w:pPr>
              <w:autoSpaceDE w:val="0"/>
              <w:autoSpaceDN w:val="0"/>
              <w:adjustRightInd w:val="0"/>
              <w:rPr>
                <w:rFonts w:ascii="Arial" w:hAnsi="Arial" w:cs="Arial"/>
                <w:sz w:val="20"/>
                <w:szCs w:val="20"/>
              </w:rPr>
            </w:pPr>
            <w:r>
              <w:rPr>
                <w:rFonts w:ascii="Arial" w:hAnsi="Arial" w:cs="Arial"/>
                <w:sz w:val="20"/>
                <w:szCs w:val="20"/>
              </w:rPr>
              <w:t>(</w:t>
            </w:r>
            <w:r w:rsidRPr="00CB630A">
              <w:rPr>
                <w:rFonts w:ascii="Arial" w:hAnsi="Arial" w:cs="Arial"/>
                <w:sz w:val="20"/>
                <w:szCs w:val="20"/>
              </w:rPr>
              <w:t>3</w:t>
            </w:r>
            <w:r>
              <w:rPr>
                <w:rFonts w:ascii="Arial" w:hAnsi="Arial" w:cs="Arial"/>
                <w:sz w:val="20"/>
                <w:szCs w:val="20"/>
              </w:rPr>
              <w:t>)</w:t>
            </w:r>
            <w:r w:rsidRPr="00CB630A">
              <w:rPr>
                <w:rFonts w:ascii="Arial" w:hAnsi="Arial" w:cs="Arial"/>
                <w:sz w:val="20"/>
                <w:szCs w:val="20"/>
              </w:rPr>
              <w:t xml:space="preserve"> -  these proposed fields could be construed as requiring financial institutions </w:t>
            </w:r>
            <w:r w:rsidRPr="00CB630A">
              <w:rPr>
                <w:rFonts w:ascii="Arial" w:hAnsi="Arial" w:cs="Arial"/>
                <w:sz w:val="20"/>
                <w:szCs w:val="20"/>
              </w:rPr>
              <w:lastRenderedPageBreak/>
              <w:t>not engaged in shared branching arrangements to report transactions on a branch-by-branch basis. Such a requirement would reflect a significant expansion of the collection and reporting aspects of the BCTR, especially for financial institutions that routinely file aggregated BCTRs.</w:t>
            </w:r>
          </w:p>
        </w:tc>
        <w:tc>
          <w:tcPr>
            <w:tcW w:w="1062" w:type="dxa"/>
            <w:tcMar>
              <w:left w:w="86" w:type="dxa"/>
              <w:right w:w="86" w:type="dxa"/>
            </w:tcMar>
          </w:tcPr>
          <w:p w:rsidR="00A52AD1" w:rsidRPr="00CB630A" w:rsidRDefault="00A52AD1" w:rsidP="00A52AD1">
            <w:pPr>
              <w:rPr>
                <w:rFonts w:ascii="Arial" w:hAnsi="Arial" w:cs="Arial"/>
                <w:sz w:val="20"/>
                <w:szCs w:val="20"/>
              </w:rPr>
            </w:pPr>
            <w:r>
              <w:rPr>
                <w:rFonts w:ascii="Arial" w:hAnsi="Arial" w:cs="Arial"/>
                <w:sz w:val="20"/>
                <w:szCs w:val="20"/>
              </w:rPr>
              <w:lastRenderedPageBreak/>
              <w:t>4/2016</w:t>
            </w:r>
          </w:p>
        </w:tc>
        <w:tc>
          <w:tcPr>
            <w:tcW w:w="4236" w:type="dxa"/>
            <w:tcMar>
              <w:left w:w="86" w:type="dxa"/>
              <w:right w:w="86" w:type="dxa"/>
            </w:tcMar>
          </w:tcPr>
          <w:p w:rsidR="00A52AD1" w:rsidRDefault="00BE4A69" w:rsidP="00A52AD1">
            <w:pPr>
              <w:autoSpaceDE w:val="0"/>
              <w:autoSpaceDN w:val="0"/>
              <w:adjustRightInd w:val="0"/>
              <w:rPr>
                <w:rFonts w:ascii="Arial" w:hAnsi="Arial" w:cs="Arial"/>
                <w:sz w:val="20"/>
                <w:szCs w:val="20"/>
              </w:rPr>
            </w:pPr>
            <w:r>
              <w:rPr>
                <w:rFonts w:ascii="Arial" w:hAnsi="Arial" w:cs="Arial"/>
                <w:sz w:val="20"/>
                <w:szCs w:val="20"/>
              </w:rPr>
              <w:t xml:space="preserve">Recommendation Amended – </w:t>
            </w:r>
          </w:p>
          <w:p w:rsidR="00BE4A69" w:rsidRDefault="00BE4A69" w:rsidP="00A52AD1">
            <w:pPr>
              <w:autoSpaceDE w:val="0"/>
              <w:autoSpaceDN w:val="0"/>
              <w:adjustRightInd w:val="0"/>
              <w:rPr>
                <w:rFonts w:ascii="Arial" w:hAnsi="Arial" w:cs="Arial"/>
                <w:sz w:val="20"/>
                <w:szCs w:val="20"/>
              </w:rPr>
            </w:pPr>
          </w:p>
          <w:p w:rsidR="00BE4A69" w:rsidRPr="00CB630A" w:rsidRDefault="00BE4A69" w:rsidP="00A52AD1">
            <w:pPr>
              <w:autoSpaceDE w:val="0"/>
              <w:autoSpaceDN w:val="0"/>
              <w:adjustRightInd w:val="0"/>
              <w:rPr>
                <w:rFonts w:ascii="Arial" w:hAnsi="Arial" w:cs="Arial"/>
                <w:sz w:val="20"/>
                <w:szCs w:val="20"/>
              </w:rPr>
            </w:pPr>
            <w:r>
              <w:rPr>
                <w:rFonts w:ascii="Arial" w:hAnsi="Arial" w:cs="Arial"/>
                <w:sz w:val="20"/>
                <w:szCs w:val="20"/>
              </w:rPr>
              <w:t xml:space="preserve">Shared Branch operations are used by Credit Union cooperative systems under joint </w:t>
            </w:r>
            <w:r>
              <w:rPr>
                <w:rFonts w:ascii="Arial" w:hAnsi="Arial" w:cs="Arial"/>
                <w:sz w:val="20"/>
                <w:szCs w:val="20"/>
              </w:rPr>
              <w:lastRenderedPageBreak/>
              <w:t xml:space="preserve">agreements and not meant to be individual Financial Institution branch use. </w:t>
            </w:r>
          </w:p>
        </w:tc>
        <w:tc>
          <w:tcPr>
            <w:tcW w:w="4292" w:type="dxa"/>
            <w:tcMar>
              <w:left w:w="86" w:type="dxa"/>
              <w:right w:w="86" w:type="dxa"/>
            </w:tcMar>
          </w:tcPr>
          <w:p w:rsidR="00A52AD1" w:rsidRPr="00CB630A" w:rsidRDefault="00BE4A69" w:rsidP="00A52AD1">
            <w:pPr>
              <w:rPr>
                <w:rFonts w:ascii="Arial" w:hAnsi="Arial" w:cs="Arial"/>
                <w:sz w:val="20"/>
                <w:szCs w:val="20"/>
                <w:highlight w:val="yellow"/>
              </w:rPr>
            </w:pPr>
            <w:r>
              <w:rPr>
                <w:rFonts w:ascii="Arial" w:hAnsi="Arial" w:cs="Arial"/>
                <w:sz w:val="20"/>
                <w:szCs w:val="20"/>
              </w:rPr>
              <w:lastRenderedPageBreak/>
              <w:t>Instructions will be clarified to provide clarification of how to use the Shared Branching Checkbox.</w:t>
            </w:r>
          </w:p>
        </w:tc>
      </w:tr>
      <w:tr w:rsidR="00A52AD1" w:rsidRPr="00CB630A" w:rsidTr="0080583E">
        <w:tc>
          <w:tcPr>
            <w:tcW w:w="780" w:type="dxa"/>
          </w:tcPr>
          <w:p w:rsidR="00A52AD1" w:rsidRPr="0080583E" w:rsidRDefault="00A52AD1" w:rsidP="0080583E">
            <w:pPr>
              <w:pStyle w:val="ListParagraph"/>
              <w:numPr>
                <w:ilvl w:val="0"/>
                <w:numId w:val="44"/>
              </w:numPr>
              <w:jc w:val="both"/>
              <w:rPr>
                <w:rFonts w:ascii="Arial" w:hAnsi="Arial" w:cs="Arial"/>
                <w:sz w:val="20"/>
                <w:szCs w:val="20"/>
              </w:rPr>
            </w:pPr>
          </w:p>
        </w:tc>
        <w:tc>
          <w:tcPr>
            <w:tcW w:w="4030" w:type="dxa"/>
            <w:tcMar>
              <w:left w:w="86" w:type="dxa"/>
              <w:right w:w="86" w:type="dxa"/>
            </w:tcMar>
          </w:tcPr>
          <w:p w:rsidR="00A52AD1" w:rsidRDefault="00A52AD1" w:rsidP="00A52AD1">
            <w:pPr>
              <w:autoSpaceDE w:val="0"/>
              <w:autoSpaceDN w:val="0"/>
              <w:adjustRightInd w:val="0"/>
              <w:rPr>
                <w:rFonts w:ascii="Arial" w:hAnsi="Arial" w:cs="Arial"/>
                <w:sz w:val="20"/>
                <w:szCs w:val="20"/>
              </w:rPr>
            </w:pPr>
            <w:r>
              <w:rPr>
                <w:rFonts w:ascii="Arial" w:hAnsi="Arial" w:cs="Arial"/>
                <w:sz w:val="20"/>
                <w:szCs w:val="20"/>
              </w:rPr>
              <w:t>Form Sequence/Appearance</w:t>
            </w:r>
          </w:p>
          <w:p w:rsidR="00A52AD1" w:rsidRDefault="00A52AD1" w:rsidP="00A52AD1">
            <w:pPr>
              <w:autoSpaceDE w:val="0"/>
              <w:autoSpaceDN w:val="0"/>
              <w:adjustRightInd w:val="0"/>
              <w:rPr>
                <w:rFonts w:ascii="Arial" w:hAnsi="Arial" w:cs="Arial"/>
                <w:sz w:val="20"/>
                <w:szCs w:val="20"/>
              </w:rPr>
            </w:pPr>
          </w:p>
          <w:p w:rsidR="00A52AD1" w:rsidRPr="00CB630A" w:rsidRDefault="00A52AD1" w:rsidP="00A52AD1">
            <w:pPr>
              <w:autoSpaceDE w:val="0"/>
              <w:autoSpaceDN w:val="0"/>
              <w:adjustRightInd w:val="0"/>
              <w:rPr>
                <w:rFonts w:ascii="Arial" w:hAnsi="Arial" w:cs="Arial"/>
                <w:sz w:val="20"/>
                <w:szCs w:val="20"/>
              </w:rPr>
            </w:pPr>
            <w:r>
              <w:rPr>
                <w:rFonts w:ascii="Arial" w:hAnsi="Arial" w:cs="Arial"/>
                <w:sz w:val="20"/>
                <w:szCs w:val="20"/>
              </w:rPr>
              <w:t>(</w:t>
            </w:r>
            <w:r w:rsidRPr="00CB630A">
              <w:rPr>
                <w:rFonts w:ascii="Arial" w:hAnsi="Arial" w:cs="Arial"/>
                <w:sz w:val="20"/>
                <w:szCs w:val="20"/>
              </w:rPr>
              <w:t>4</w:t>
            </w:r>
            <w:r>
              <w:rPr>
                <w:rFonts w:ascii="Arial" w:hAnsi="Arial" w:cs="Arial"/>
                <w:sz w:val="20"/>
                <w:szCs w:val="20"/>
              </w:rPr>
              <w:t>)</w:t>
            </w:r>
            <w:r w:rsidRPr="00CB630A">
              <w:rPr>
                <w:rFonts w:ascii="Arial" w:hAnsi="Arial" w:cs="Arial"/>
                <w:sz w:val="20"/>
                <w:szCs w:val="20"/>
              </w:rPr>
              <w:t xml:space="preserve"> - We respectfully note, in addition, that the comment process may be improved if FinCEN were to make available a sample of what the revised form will look like. The appearance of a form is very important: the sequence and format in which information is requested can make a form more or less unwieldy.</w:t>
            </w:r>
          </w:p>
        </w:tc>
        <w:tc>
          <w:tcPr>
            <w:tcW w:w="1062" w:type="dxa"/>
            <w:tcMar>
              <w:left w:w="86" w:type="dxa"/>
              <w:right w:w="86" w:type="dxa"/>
            </w:tcMar>
          </w:tcPr>
          <w:p w:rsidR="00A52AD1" w:rsidRPr="00CB630A" w:rsidRDefault="00A52AD1" w:rsidP="00A52AD1">
            <w:pPr>
              <w:rPr>
                <w:rFonts w:ascii="Arial" w:hAnsi="Arial" w:cs="Arial"/>
                <w:sz w:val="20"/>
                <w:szCs w:val="20"/>
              </w:rPr>
            </w:pPr>
            <w:r>
              <w:rPr>
                <w:rFonts w:ascii="Arial" w:hAnsi="Arial" w:cs="Arial"/>
                <w:sz w:val="20"/>
                <w:szCs w:val="20"/>
              </w:rPr>
              <w:t>4/2016</w:t>
            </w:r>
          </w:p>
        </w:tc>
        <w:tc>
          <w:tcPr>
            <w:tcW w:w="4236" w:type="dxa"/>
            <w:tcMar>
              <w:left w:w="86" w:type="dxa"/>
              <w:right w:w="86" w:type="dxa"/>
            </w:tcMar>
          </w:tcPr>
          <w:p w:rsidR="00012502" w:rsidRDefault="00012502" w:rsidP="00A52AD1">
            <w:pPr>
              <w:autoSpaceDE w:val="0"/>
              <w:autoSpaceDN w:val="0"/>
              <w:adjustRightInd w:val="0"/>
              <w:rPr>
                <w:rFonts w:ascii="Arial" w:hAnsi="Arial" w:cs="Arial"/>
                <w:sz w:val="20"/>
                <w:szCs w:val="20"/>
              </w:rPr>
            </w:pPr>
            <w:r>
              <w:rPr>
                <w:rFonts w:ascii="Arial" w:hAnsi="Arial" w:cs="Arial"/>
                <w:sz w:val="20"/>
                <w:szCs w:val="20"/>
              </w:rPr>
              <w:t>Recommendation Amended</w:t>
            </w:r>
          </w:p>
          <w:p w:rsidR="00012502" w:rsidRDefault="00012502" w:rsidP="00A52AD1">
            <w:pPr>
              <w:autoSpaceDE w:val="0"/>
              <w:autoSpaceDN w:val="0"/>
              <w:adjustRightInd w:val="0"/>
            </w:pPr>
          </w:p>
          <w:p w:rsidR="00A52AD1" w:rsidRDefault="001B27A8" w:rsidP="00A52AD1">
            <w:pPr>
              <w:autoSpaceDE w:val="0"/>
              <w:autoSpaceDN w:val="0"/>
              <w:adjustRightInd w:val="0"/>
            </w:pPr>
            <w:r w:rsidRPr="00843F5F">
              <w:t xml:space="preserve">FinCEN </w:t>
            </w:r>
            <w:r w:rsidR="00843F5F" w:rsidRPr="00843F5F">
              <w:t>has</w:t>
            </w:r>
            <w:r w:rsidRPr="00843F5F">
              <w:t xml:space="preserve"> implement</w:t>
            </w:r>
            <w:r w:rsidR="00843F5F" w:rsidRPr="00843F5F">
              <w:t>ed</w:t>
            </w:r>
            <w:r w:rsidRPr="00843F5F">
              <w:t xml:space="preserve"> a modern electronic reporting system ba</w:t>
            </w:r>
            <w:r w:rsidR="00843F5F">
              <w:t>sed on the use of dynamic forms in late 2010.</w:t>
            </w:r>
            <w:r w:rsidRPr="00843F5F">
              <w:t xml:space="preserve"> This concept and the Notice and Comment process </w:t>
            </w:r>
            <w:r w:rsidR="00843F5F" w:rsidRPr="00843F5F">
              <w:t>was</w:t>
            </w:r>
            <w:r w:rsidRPr="00843F5F">
              <w:t xml:space="preserve"> altered to cover all possible uses by all financial institutions required to file Bank Secrecy Act (BSA) reports. Based on discussions with the Office of Management and Budget (OMB), the decision to request “Notice and Comment” on the entire proposed database was deemed the best way to meet the Paperwork Reduction Act (PRA) requirements.</w:t>
            </w:r>
          </w:p>
          <w:p w:rsidR="00843F5F" w:rsidRDefault="00843F5F" w:rsidP="00A52AD1">
            <w:pPr>
              <w:autoSpaceDE w:val="0"/>
              <w:autoSpaceDN w:val="0"/>
              <w:adjustRightInd w:val="0"/>
            </w:pPr>
          </w:p>
          <w:p w:rsidR="00843F5F" w:rsidRPr="00CB630A" w:rsidRDefault="00843F5F" w:rsidP="00A52AD1">
            <w:pPr>
              <w:autoSpaceDE w:val="0"/>
              <w:autoSpaceDN w:val="0"/>
              <w:adjustRightInd w:val="0"/>
              <w:rPr>
                <w:rFonts w:ascii="Arial" w:hAnsi="Arial" w:cs="Arial"/>
                <w:sz w:val="20"/>
                <w:szCs w:val="20"/>
              </w:rPr>
            </w:pPr>
            <w:r>
              <w:t xml:space="preserve">This will align the BCTR form with the current BSAR format that has been initially successful. </w:t>
            </w:r>
          </w:p>
        </w:tc>
        <w:tc>
          <w:tcPr>
            <w:tcW w:w="4292" w:type="dxa"/>
            <w:tcMar>
              <w:left w:w="86" w:type="dxa"/>
              <w:right w:w="86" w:type="dxa"/>
            </w:tcMar>
          </w:tcPr>
          <w:p w:rsidR="00A52AD1" w:rsidRPr="00CB630A" w:rsidRDefault="00A52AD1" w:rsidP="00A52AD1">
            <w:pPr>
              <w:rPr>
                <w:rFonts w:ascii="Arial" w:hAnsi="Arial" w:cs="Arial"/>
                <w:sz w:val="20"/>
                <w:szCs w:val="20"/>
                <w:highlight w:val="yellow"/>
              </w:rPr>
            </w:pPr>
          </w:p>
        </w:tc>
      </w:tr>
      <w:tr w:rsidR="00A52AD1" w:rsidRPr="00CB630A" w:rsidTr="0080583E">
        <w:tc>
          <w:tcPr>
            <w:tcW w:w="780" w:type="dxa"/>
          </w:tcPr>
          <w:p w:rsidR="00A52AD1" w:rsidRPr="0080583E" w:rsidRDefault="00A52AD1" w:rsidP="0080583E">
            <w:pPr>
              <w:pStyle w:val="ListParagraph"/>
              <w:numPr>
                <w:ilvl w:val="0"/>
                <w:numId w:val="44"/>
              </w:numPr>
              <w:jc w:val="both"/>
              <w:rPr>
                <w:rFonts w:ascii="Arial" w:hAnsi="Arial" w:cs="Arial"/>
                <w:sz w:val="20"/>
                <w:szCs w:val="20"/>
              </w:rPr>
            </w:pPr>
          </w:p>
        </w:tc>
        <w:tc>
          <w:tcPr>
            <w:tcW w:w="4030" w:type="dxa"/>
            <w:tcMar>
              <w:left w:w="86" w:type="dxa"/>
              <w:right w:w="86" w:type="dxa"/>
            </w:tcMar>
          </w:tcPr>
          <w:p w:rsidR="00A52AD1" w:rsidRDefault="00A52AD1" w:rsidP="00A52AD1">
            <w:pPr>
              <w:autoSpaceDE w:val="0"/>
              <w:autoSpaceDN w:val="0"/>
              <w:adjustRightInd w:val="0"/>
              <w:rPr>
                <w:rFonts w:ascii="Arial" w:hAnsi="Arial" w:cs="Arial"/>
                <w:sz w:val="20"/>
                <w:szCs w:val="20"/>
              </w:rPr>
            </w:pPr>
            <w:r>
              <w:rPr>
                <w:rFonts w:ascii="Arial" w:hAnsi="Arial" w:cs="Arial"/>
                <w:sz w:val="20"/>
                <w:szCs w:val="20"/>
              </w:rPr>
              <w:t>Form Sequence/Appearance</w:t>
            </w:r>
          </w:p>
          <w:p w:rsidR="00A52AD1" w:rsidRDefault="00A52AD1" w:rsidP="00A52AD1">
            <w:pPr>
              <w:autoSpaceDE w:val="0"/>
              <w:autoSpaceDN w:val="0"/>
              <w:adjustRightInd w:val="0"/>
              <w:rPr>
                <w:rFonts w:ascii="Arial" w:hAnsi="Arial" w:cs="Arial"/>
                <w:sz w:val="20"/>
                <w:szCs w:val="20"/>
              </w:rPr>
            </w:pPr>
          </w:p>
          <w:p w:rsidR="00A52AD1" w:rsidRPr="00CB630A" w:rsidRDefault="00A52AD1" w:rsidP="00A52AD1">
            <w:pPr>
              <w:autoSpaceDE w:val="0"/>
              <w:autoSpaceDN w:val="0"/>
              <w:adjustRightInd w:val="0"/>
              <w:rPr>
                <w:rFonts w:ascii="Arial" w:hAnsi="Arial" w:cs="Arial"/>
                <w:sz w:val="20"/>
                <w:szCs w:val="20"/>
              </w:rPr>
            </w:pPr>
            <w:r>
              <w:rPr>
                <w:rFonts w:ascii="Arial" w:hAnsi="Arial" w:cs="Arial"/>
                <w:sz w:val="20"/>
                <w:szCs w:val="20"/>
              </w:rPr>
              <w:t>(</w:t>
            </w:r>
            <w:r w:rsidRPr="00CB630A">
              <w:rPr>
                <w:rFonts w:ascii="Arial" w:hAnsi="Arial" w:cs="Arial"/>
                <w:sz w:val="20"/>
                <w:szCs w:val="20"/>
              </w:rPr>
              <w:t>2</w:t>
            </w:r>
            <w:r>
              <w:rPr>
                <w:rFonts w:ascii="Arial" w:hAnsi="Arial" w:cs="Arial"/>
                <w:sz w:val="20"/>
                <w:szCs w:val="20"/>
              </w:rPr>
              <w:t>)</w:t>
            </w:r>
            <w:r w:rsidRPr="00CB630A">
              <w:rPr>
                <w:rFonts w:ascii="Arial" w:hAnsi="Arial" w:cs="Arial"/>
                <w:sz w:val="20"/>
                <w:szCs w:val="20"/>
              </w:rPr>
              <w:t xml:space="preserve"> - The completion order for the new report has been revised.  Part IV will be completed first, followed by Part III. Part I is then completed followed by Part II.  These changes make the form confusing and hard </w:t>
            </w:r>
            <w:r w:rsidRPr="00CB630A">
              <w:rPr>
                <w:rFonts w:ascii="Arial" w:hAnsi="Arial" w:cs="Arial"/>
                <w:sz w:val="20"/>
                <w:szCs w:val="20"/>
              </w:rPr>
              <w:lastRenderedPageBreak/>
              <w:t xml:space="preserve">to follow.  Surely, other sections of the BCTR could be enhanced in order to collect this information instead of adding Part IV, and completely revising the order.  The changes requested to the BCTR could be made (better) by only amending Parts II and III.    </w:t>
            </w:r>
          </w:p>
          <w:p w:rsidR="00A52AD1" w:rsidRPr="00CB630A" w:rsidRDefault="00A52AD1" w:rsidP="00A52AD1">
            <w:pPr>
              <w:autoSpaceDE w:val="0"/>
              <w:autoSpaceDN w:val="0"/>
              <w:adjustRightInd w:val="0"/>
              <w:rPr>
                <w:rFonts w:ascii="Arial" w:hAnsi="Arial" w:cs="Arial"/>
                <w:sz w:val="20"/>
                <w:szCs w:val="20"/>
              </w:rPr>
            </w:pPr>
          </w:p>
          <w:p w:rsidR="00A52AD1" w:rsidRPr="00CB630A" w:rsidRDefault="00A52AD1" w:rsidP="00A52AD1">
            <w:pPr>
              <w:autoSpaceDE w:val="0"/>
              <w:autoSpaceDN w:val="0"/>
              <w:adjustRightInd w:val="0"/>
              <w:rPr>
                <w:rFonts w:ascii="Arial" w:hAnsi="Arial" w:cs="Arial"/>
                <w:sz w:val="20"/>
                <w:szCs w:val="20"/>
              </w:rPr>
            </w:pPr>
            <w:r>
              <w:rPr>
                <w:rFonts w:ascii="Arial" w:hAnsi="Arial" w:cs="Arial"/>
                <w:sz w:val="20"/>
                <w:szCs w:val="20"/>
              </w:rPr>
              <w:t>(</w:t>
            </w:r>
            <w:r w:rsidRPr="00CB630A">
              <w:rPr>
                <w:rFonts w:ascii="Arial" w:hAnsi="Arial" w:cs="Arial"/>
                <w:sz w:val="20"/>
                <w:szCs w:val="20"/>
              </w:rPr>
              <w:t>6</w:t>
            </w:r>
            <w:r>
              <w:rPr>
                <w:rFonts w:ascii="Arial" w:hAnsi="Arial" w:cs="Arial"/>
                <w:sz w:val="20"/>
                <w:szCs w:val="20"/>
              </w:rPr>
              <w:t>)</w:t>
            </w:r>
            <w:r w:rsidRPr="00CB630A">
              <w:rPr>
                <w:rFonts w:ascii="Arial" w:hAnsi="Arial" w:cs="Arial"/>
                <w:sz w:val="20"/>
                <w:szCs w:val="20"/>
              </w:rPr>
              <w:t xml:space="preserve"> - While we are in support of the order in which the parts appear on the form we believe it would be beneficial to re-number the parts as they appear in the BCTR.  This would mean that proposed part IV become part I, proposed part III become part II, proposed part I become part III, and proposed part II become proposed part IV.  We believe it is a common sense approach to number the sections in the order in which they appear on the form.</w:t>
            </w:r>
          </w:p>
        </w:tc>
        <w:tc>
          <w:tcPr>
            <w:tcW w:w="1062" w:type="dxa"/>
            <w:tcMar>
              <w:left w:w="86" w:type="dxa"/>
              <w:right w:w="86" w:type="dxa"/>
            </w:tcMar>
          </w:tcPr>
          <w:p w:rsidR="00A52AD1" w:rsidRPr="00CB630A" w:rsidRDefault="00A52AD1" w:rsidP="00A52AD1">
            <w:pPr>
              <w:rPr>
                <w:rFonts w:ascii="Arial" w:hAnsi="Arial" w:cs="Arial"/>
                <w:sz w:val="20"/>
                <w:szCs w:val="20"/>
              </w:rPr>
            </w:pPr>
            <w:r>
              <w:rPr>
                <w:rFonts w:ascii="Arial" w:hAnsi="Arial" w:cs="Arial"/>
                <w:sz w:val="20"/>
                <w:szCs w:val="20"/>
              </w:rPr>
              <w:lastRenderedPageBreak/>
              <w:t>4/2016</w:t>
            </w:r>
          </w:p>
        </w:tc>
        <w:tc>
          <w:tcPr>
            <w:tcW w:w="4236" w:type="dxa"/>
            <w:tcMar>
              <w:left w:w="86" w:type="dxa"/>
              <w:right w:w="86" w:type="dxa"/>
            </w:tcMar>
          </w:tcPr>
          <w:p w:rsidR="00012502" w:rsidRDefault="00012502" w:rsidP="00012502">
            <w:pPr>
              <w:autoSpaceDE w:val="0"/>
              <w:autoSpaceDN w:val="0"/>
              <w:adjustRightInd w:val="0"/>
              <w:rPr>
                <w:rFonts w:ascii="Arial" w:hAnsi="Arial" w:cs="Arial"/>
                <w:sz w:val="20"/>
                <w:szCs w:val="20"/>
              </w:rPr>
            </w:pPr>
            <w:r>
              <w:rPr>
                <w:rFonts w:ascii="Arial" w:hAnsi="Arial" w:cs="Arial"/>
                <w:sz w:val="20"/>
                <w:szCs w:val="20"/>
              </w:rPr>
              <w:t>Recommendation Amended</w:t>
            </w:r>
          </w:p>
          <w:p w:rsidR="00012502" w:rsidRDefault="00012502" w:rsidP="00012502">
            <w:pPr>
              <w:autoSpaceDE w:val="0"/>
              <w:autoSpaceDN w:val="0"/>
              <w:adjustRightInd w:val="0"/>
            </w:pPr>
          </w:p>
          <w:p w:rsidR="00012502" w:rsidRDefault="00012502" w:rsidP="00012502">
            <w:pPr>
              <w:autoSpaceDE w:val="0"/>
              <w:autoSpaceDN w:val="0"/>
              <w:adjustRightInd w:val="0"/>
            </w:pPr>
            <w:r w:rsidRPr="00843F5F">
              <w:t>FinCEN has implemented a modern electronic reporting system ba</w:t>
            </w:r>
            <w:r>
              <w:t>sed on the use of dynamic forms in late 2010.</w:t>
            </w:r>
            <w:r w:rsidRPr="00843F5F">
              <w:t xml:space="preserve"> This concept and the Notice and Comment </w:t>
            </w:r>
            <w:r w:rsidRPr="00843F5F">
              <w:lastRenderedPageBreak/>
              <w:t>process was altered to cover all possible uses by all financial institutions required to file Bank Secrecy Act (BSA) reports. Based on discussions with the Office of Management and Budget (OMB), the decision to request “Notice and Comment” on the entire proposed database was deemed the best way to meet the Paperwork Reduction Act (PRA) requirements.</w:t>
            </w:r>
          </w:p>
          <w:p w:rsidR="00012502" w:rsidRDefault="00012502" w:rsidP="00012502">
            <w:pPr>
              <w:autoSpaceDE w:val="0"/>
              <w:autoSpaceDN w:val="0"/>
              <w:adjustRightInd w:val="0"/>
            </w:pPr>
          </w:p>
          <w:p w:rsidR="00A52AD1" w:rsidRDefault="00012502" w:rsidP="00012502">
            <w:pPr>
              <w:autoSpaceDE w:val="0"/>
              <w:autoSpaceDN w:val="0"/>
              <w:adjustRightInd w:val="0"/>
            </w:pPr>
            <w:r>
              <w:t>This will align the BCTR form with the current BSAR format that has been initially successful.</w:t>
            </w:r>
          </w:p>
          <w:p w:rsidR="00012502" w:rsidRDefault="00012502" w:rsidP="00012502">
            <w:pPr>
              <w:autoSpaceDE w:val="0"/>
              <w:autoSpaceDN w:val="0"/>
              <w:adjustRightInd w:val="0"/>
            </w:pPr>
          </w:p>
          <w:p w:rsidR="00012502" w:rsidRPr="00CB630A" w:rsidRDefault="00012502" w:rsidP="00012502">
            <w:pPr>
              <w:autoSpaceDE w:val="0"/>
              <w:autoSpaceDN w:val="0"/>
              <w:adjustRightInd w:val="0"/>
              <w:rPr>
                <w:rFonts w:ascii="Arial" w:hAnsi="Arial" w:cs="Arial"/>
                <w:sz w:val="20"/>
                <w:szCs w:val="20"/>
              </w:rPr>
            </w:pPr>
            <w:r>
              <w:t xml:space="preserve">A reordering as suggested would be a major processing impact and may be considered in the future. </w:t>
            </w:r>
          </w:p>
        </w:tc>
        <w:tc>
          <w:tcPr>
            <w:tcW w:w="4292" w:type="dxa"/>
            <w:tcMar>
              <w:left w:w="86" w:type="dxa"/>
              <w:right w:w="86" w:type="dxa"/>
            </w:tcMar>
          </w:tcPr>
          <w:p w:rsidR="00A52AD1" w:rsidRPr="00CB630A" w:rsidRDefault="00A52AD1" w:rsidP="00A52AD1">
            <w:pPr>
              <w:rPr>
                <w:rFonts w:ascii="Arial" w:hAnsi="Arial" w:cs="Arial"/>
                <w:sz w:val="20"/>
                <w:szCs w:val="20"/>
                <w:highlight w:val="yellow"/>
              </w:rPr>
            </w:pPr>
          </w:p>
        </w:tc>
      </w:tr>
      <w:tr w:rsidR="00A52AD1" w:rsidRPr="00CB630A" w:rsidTr="0080583E">
        <w:tc>
          <w:tcPr>
            <w:tcW w:w="780" w:type="dxa"/>
          </w:tcPr>
          <w:p w:rsidR="00A52AD1" w:rsidRPr="0080583E" w:rsidRDefault="00A52AD1" w:rsidP="0080583E">
            <w:pPr>
              <w:pStyle w:val="ListParagraph"/>
              <w:numPr>
                <w:ilvl w:val="0"/>
                <w:numId w:val="44"/>
              </w:numPr>
              <w:jc w:val="both"/>
              <w:rPr>
                <w:rFonts w:ascii="Arial" w:hAnsi="Arial" w:cs="Arial"/>
                <w:sz w:val="20"/>
                <w:szCs w:val="20"/>
              </w:rPr>
            </w:pPr>
          </w:p>
        </w:tc>
        <w:tc>
          <w:tcPr>
            <w:tcW w:w="4030" w:type="dxa"/>
            <w:tcMar>
              <w:left w:w="86" w:type="dxa"/>
              <w:right w:w="86" w:type="dxa"/>
            </w:tcMar>
          </w:tcPr>
          <w:p w:rsidR="00A52AD1" w:rsidRDefault="00A52AD1" w:rsidP="00A52AD1">
            <w:pPr>
              <w:autoSpaceDE w:val="0"/>
              <w:autoSpaceDN w:val="0"/>
              <w:adjustRightInd w:val="0"/>
              <w:rPr>
                <w:rFonts w:ascii="Arial" w:hAnsi="Arial" w:cs="Arial"/>
                <w:sz w:val="20"/>
                <w:szCs w:val="20"/>
              </w:rPr>
            </w:pPr>
            <w:r>
              <w:rPr>
                <w:rFonts w:ascii="Arial" w:hAnsi="Arial" w:cs="Arial"/>
                <w:sz w:val="20"/>
                <w:szCs w:val="20"/>
              </w:rPr>
              <w:t>Section III title</w:t>
            </w:r>
          </w:p>
          <w:p w:rsidR="00A52AD1" w:rsidRDefault="00A52AD1" w:rsidP="00A52AD1">
            <w:pPr>
              <w:autoSpaceDE w:val="0"/>
              <w:autoSpaceDN w:val="0"/>
              <w:adjustRightInd w:val="0"/>
              <w:rPr>
                <w:rFonts w:ascii="Arial" w:hAnsi="Arial" w:cs="Arial"/>
                <w:sz w:val="20"/>
                <w:szCs w:val="20"/>
              </w:rPr>
            </w:pPr>
          </w:p>
          <w:p w:rsidR="00A52AD1" w:rsidRPr="00CB630A" w:rsidRDefault="00A52AD1" w:rsidP="00A52AD1">
            <w:pPr>
              <w:autoSpaceDE w:val="0"/>
              <w:autoSpaceDN w:val="0"/>
              <w:adjustRightInd w:val="0"/>
              <w:rPr>
                <w:rFonts w:ascii="Arial" w:hAnsi="Arial" w:cs="Arial"/>
                <w:sz w:val="20"/>
                <w:szCs w:val="20"/>
              </w:rPr>
            </w:pPr>
            <w:r>
              <w:rPr>
                <w:rFonts w:ascii="Arial" w:hAnsi="Arial" w:cs="Arial"/>
                <w:sz w:val="20"/>
                <w:szCs w:val="20"/>
              </w:rPr>
              <w:t>(</w:t>
            </w:r>
            <w:r w:rsidRPr="00CB630A">
              <w:rPr>
                <w:rFonts w:ascii="Arial" w:hAnsi="Arial" w:cs="Arial"/>
                <w:sz w:val="20"/>
                <w:szCs w:val="20"/>
              </w:rPr>
              <w:t>6</w:t>
            </w:r>
            <w:r>
              <w:rPr>
                <w:rFonts w:ascii="Arial" w:hAnsi="Arial" w:cs="Arial"/>
                <w:sz w:val="20"/>
                <w:szCs w:val="20"/>
              </w:rPr>
              <w:t>)</w:t>
            </w:r>
            <w:r w:rsidRPr="00CB630A">
              <w:rPr>
                <w:rFonts w:ascii="Arial" w:hAnsi="Arial" w:cs="Arial"/>
                <w:sz w:val="20"/>
                <w:szCs w:val="20"/>
              </w:rPr>
              <w:t xml:space="preserve"> - We believe it would also be beneficial to change the title of section III to “Branch where transaction(s) occurred” because the transaction would occur at a branch of a financial institution.  </w:t>
            </w:r>
          </w:p>
        </w:tc>
        <w:tc>
          <w:tcPr>
            <w:tcW w:w="1062" w:type="dxa"/>
            <w:tcMar>
              <w:left w:w="86" w:type="dxa"/>
              <w:right w:w="86" w:type="dxa"/>
            </w:tcMar>
          </w:tcPr>
          <w:p w:rsidR="00A52AD1" w:rsidRPr="00CB630A" w:rsidRDefault="00A52AD1" w:rsidP="00A52AD1">
            <w:pPr>
              <w:rPr>
                <w:rFonts w:ascii="Arial" w:hAnsi="Arial" w:cs="Arial"/>
                <w:sz w:val="20"/>
                <w:szCs w:val="20"/>
              </w:rPr>
            </w:pPr>
            <w:r>
              <w:rPr>
                <w:rFonts w:ascii="Arial" w:hAnsi="Arial" w:cs="Arial"/>
                <w:sz w:val="20"/>
                <w:szCs w:val="20"/>
              </w:rPr>
              <w:t>4/2016</w:t>
            </w:r>
          </w:p>
        </w:tc>
        <w:tc>
          <w:tcPr>
            <w:tcW w:w="4236" w:type="dxa"/>
            <w:tcMar>
              <w:left w:w="86" w:type="dxa"/>
              <w:right w:w="86" w:type="dxa"/>
            </w:tcMar>
          </w:tcPr>
          <w:p w:rsidR="00A52AD1" w:rsidRDefault="00861412" w:rsidP="00A52AD1">
            <w:pPr>
              <w:autoSpaceDE w:val="0"/>
              <w:autoSpaceDN w:val="0"/>
              <w:adjustRightInd w:val="0"/>
              <w:rPr>
                <w:rFonts w:ascii="Arial" w:hAnsi="Arial" w:cs="Arial"/>
                <w:sz w:val="20"/>
                <w:szCs w:val="20"/>
              </w:rPr>
            </w:pPr>
            <w:r>
              <w:rPr>
                <w:rFonts w:ascii="Arial" w:hAnsi="Arial" w:cs="Arial"/>
                <w:sz w:val="20"/>
                <w:szCs w:val="20"/>
              </w:rPr>
              <w:t xml:space="preserve">Recommendation Declined – </w:t>
            </w:r>
          </w:p>
          <w:p w:rsidR="00861412" w:rsidRDefault="00861412" w:rsidP="00A52AD1">
            <w:pPr>
              <w:autoSpaceDE w:val="0"/>
              <w:autoSpaceDN w:val="0"/>
              <w:adjustRightInd w:val="0"/>
              <w:rPr>
                <w:rFonts w:ascii="Arial" w:hAnsi="Arial" w:cs="Arial"/>
                <w:sz w:val="20"/>
                <w:szCs w:val="20"/>
              </w:rPr>
            </w:pPr>
          </w:p>
          <w:p w:rsidR="00861412" w:rsidRPr="00CB630A" w:rsidRDefault="00A71BBB" w:rsidP="00861412">
            <w:pPr>
              <w:autoSpaceDE w:val="0"/>
              <w:autoSpaceDN w:val="0"/>
              <w:adjustRightInd w:val="0"/>
              <w:rPr>
                <w:rFonts w:ascii="Arial" w:hAnsi="Arial" w:cs="Arial"/>
                <w:sz w:val="20"/>
                <w:szCs w:val="20"/>
              </w:rPr>
            </w:pPr>
            <w:r>
              <w:rPr>
                <w:rFonts w:ascii="Arial" w:hAnsi="Arial" w:cs="Arial"/>
                <w:sz w:val="20"/>
                <w:szCs w:val="20"/>
              </w:rPr>
              <w:t>B</w:t>
            </w:r>
            <w:r w:rsidR="00861412">
              <w:rPr>
                <w:rFonts w:ascii="Arial" w:hAnsi="Arial" w:cs="Arial"/>
                <w:sz w:val="20"/>
                <w:szCs w:val="20"/>
              </w:rPr>
              <w:t>CTR form is designed to accommodate multiple industries that do not have branch based organizational structure</w:t>
            </w:r>
            <w:r>
              <w:rPr>
                <w:rFonts w:ascii="Arial" w:hAnsi="Arial" w:cs="Arial"/>
                <w:sz w:val="20"/>
                <w:szCs w:val="20"/>
              </w:rPr>
              <w:t>s</w:t>
            </w:r>
            <w:r w:rsidR="00861412">
              <w:rPr>
                <w:rFonts w:ascii="Arial" w:hAnsi="Arial" w:cs="Arial"/>
                <w:sz w:val="20"/>
                <w:szCs w:val="20"/>
              </w:rPr>
              <w:t xml:space="preserve">.  </w:t>
            </w:r>
          </w:p>
        </w:tc>
        <w:tc>
          <w:tcPr>
            <w:tcW w:w="4292" w:type="dxa"/>
            <w:tcMar>
              <w:left w:w="86" w:type="dxa"/>
              <w:right w:w="86" w:type="dxa"/>
            </w:tcMar>
          </w:tcPr>
          <w:p w:rsidR="00A52AD1" w:rsidRPr="00CB630A" w:rsidRDefault="00A52AD1" w:rsidP="00A52AD1">
            <w:pPr>
              <w:rPr>
                <w:rFonts w:ascii="Arial" w:hAnsi="Arial" w:cs="Arial"/>
                <w:sz w:val="20"/>
                <w:szCs w:val="20"/>
                <w:highlight w:val="yellow"/>
              </w:rPr>
            </w:pPr>
          </w:p>
        </w:tc>
      </w:tr>
      <w:tr w:rsidR="00A52AD1" w:rsidRPr="00CB630A" w:rsidTr="0080583E">
        <w:tc>
          <w:tcPr>
            <w:tcW w:w="780" w:type="dxa"/>
          </w:tcPr>
          <w:p w:rsidR="00A52AD1" w:rsidRPr="0080583E" w:rsidRDefault="00A52AD1" w:rsidP="0080583E">
            <w:pPr>
              <w:pStyle w:val="ListParagraph"/>
              <w:numPr>
                <w:ilvl w:val="0"/>
                <w:numId w:val="44"/>
              </w:numPr>
              <w:jc w:val="both"/>
              <w:rPr>
                <w:rFonts w:ascii="Arial" w:hAnsi="Arial" w:cs="Arial"/>
                <w:sz w:val="20"/>
                <w:szCs w:val="20"/>
              </w:rPr>
            </w:pPr>
          </w:p>
        </w:tc>
        <w:tc>
          <w:tcPr>
            <w:tcW w:w="4030" w:type="dxa"/>
            <w:tcMar>
              <w:left w:w="86" w:type="dxa"/>
              <w:right w:w="86" w:type="dxa"/>
            </w:tcMar>
          </w:tcPr>
          <w:p w:rsidR="00A52AD1" w:rsidRDefault="00A52AD1" w:rsidP="00A52AD1">
            <w:pPr>
              <w:autoSpaceDE w:val="0"/>
              <w:autoSpaceDN w:val="0"/>
              <w:adjustRightInd w:val="0"/>
              <w:rPr>
                <w:rFonts w:ascii="Arial" w:hAnsi="Arial" w:cs="Arial"/>
                <w:sz w:val="20"/>
                <w:szCs w:val="20"/>
              </w:rPr>
            </w:pPr>
            <w:r>
              <w:rPr>
                <w:rFonts w:ascii="Arial" w:hAnsi="Arial" w:cs="Arial"/>
                <w:sz w:val="20"/>
                <w:szCs w:val="20"/>
              </w:rPr>
              <w:t>Definition</w:t>
            </w:r>
          </w:p>
          <w:p w:rsidR="00A52AD1" w:rsidRDefault="00A52AD1" w:rsidP="00A52AD1">
            <w:pPr>
              <w:autoSpaceDE w:val="0"/>
              <w:autoSpaceDN w:val="0"/>
              <w:adjustRightInd w:val="0"/>
              <w:rPr>
                <w:rFonts w:ascii="Arial" w:hAnsi="Arial" w:cs="Arial"/>
                <w:sz w:val="20"/>
                <w:szCs w:val="20"/>
              </w:rPr>
            </w:pPr>
          </w:p>
          <w:p w:rsidR="00A52AD1" w:rsidRPr="00CB630A" w:rsidRDefault="00A52AD1" w:rsidP="00A52AD1">
            <w:pPr>
              <w:autoSpaceDE w:val="0"/>
              <w:autoSpaceDN w:val="0"/>
              <w:adjustRightInd w:val="0"/>
              <w:rPr>
                <w:rFonts w:ascii="Arial" w:hAnsi="Arial" w:cs="Arial"/>
                <w:sz w:val="20"/>
                <w:szCs w:val="20"/>
              </w:rPr>
            </w:pPr>
            <w:r>
              <w:rPr>
                <w:rFonts w:ascii="Arial" w:hAnsi="Arial" w:cs="Arial"/>
                <w:sz w:val="20"/>
                <w:szCs w:val="20"/>
              </w:rPr>
              <w:t>(</w:t>
            </w:r>
            <w:r w:rsidRPr="00CB630A">
              <w:rPr>
                <w:rFonts w:ascii="Arial" w:hAnsi="Arial" w:cs="Arial"/>
                <w:sz w:val="20"/>
                <w:szCs w:val="20"/>
              </w:rPr>
              <w:t>6</w:t>
            </w:r>
            <w:r>
              <w:rPr>
                <w:rFonts w:ascii="Arial" w:hAnsi="Arial" w:cs="Arial"/>
                <w:sz w:val="20"/>
                <w:szCs w:val="20"/>
              </w:rPr>
              <w:t>)</w:t>
            </w:r>
            <w:r w:rsidRPr="00CB630A">
              <w:rPr>
                <w:rFonts w:ascii="Arial" w:hAnsi="Arial" w:cs="Arial"/>
                <w:sz w:val="20"/>
                <w:szCs w:val="20"/>
              </w:rPr>
              <w:t xml:space="preserve"> - it states under Part III (Financial Institution Where Transaction(s) Takes Place), to prepare a separate Part III for each financial institution branch involved in aggregated currency transaction.  It is unclear whether this is a branch of the institution responsible for filing the report or a branch of any financial institution where a </w:t>
            </w:r>
            <w:r w:rsidRPr="00CB630A">
              <w:rPr>
                <w:rFonts w:ascii="Arial" w:hAnsi="Arial" w:cs="Arial"/>
                <w:sz w:val="20"/>
                <w:szCs w:val="20"/>
              </w:rPr>
              <w:lastRenderedPageBreak/>
              <w:t xml:space="preserve">transaction occurred.  Branch is not defined in the Currency Transaction Report Electronic Filing Requirements nor is it a definition under Chapter X.  </w:t>
            </w:r>
          </w:p>
        </w:tc>
        <w:tc>
          <w:tcPr>
            <w:tcW w:w="1062" w:type="dxa"/>
            <w:tcMar>
              <w:left w:w="86" w:type="dxa"/>
              <w:right w:w="86" w:type="dxa"/>
            </w:tcMar>
          </w:tcPr>
          <w:p w:rsidR="00A52AD1" w:rsidRPr="00CB630A" w:rsidRDefault="00A52AD1" w:rsidP="00A52AD1">
            <w:pPr>
              <w:rPr>
                <w:rFonts w:ascii="Arial" w:hAnsi="Arial" w:cs="Arial"/>
                <w:sz w:val="20"/>
                <w:szCs w:val="20"/>
              </w:rPr>
            </w:pPr>
            <w:r>
              <w:rPr>
                <w:rFonts w:ascii="Arial" w:hAnsi="Arial" w:cs="Arial"/>
                <w:sz w:val="20"/>
                <w:szCs w:val="20"/>
              </w:rPr>
              <w:lastRenderedPageBreak/>
              <w:t>4/2016</w:t>
            </w:r>
          </w:p>
        </w:tc>
        <w:tc>
          <w:tcPr>
            <w:tcW w:w="4236" w:type="dxa"/>
            <w:tcMar>
              <w:left w:w="86" w:type="dxa"/>
              <w:right w:w="86" w:type="dxa"/>
            </w:tcMar>
          </w:tcPr>
          <w:p w:rsidR="00A52AD1" w:rsidRDefault="00633318" w:rsidP="00A52AD1">
            <w:pPr>
              <w:autoSpaceDE w:val="0"/>
              <w:autoSpaceDN w:val="0"/>
              <w:adjustRightInd w:val="0"/>
              <w:rPr>
                <w:rFonts w:ascii="Arial" w:hAnsi="Arial" w:cs="Arial"/>
                <w:sz w:val="20"/>
                <w:szCs w:val="20"/>
              </w:rPr>
            </w:pPr>
            <w:r>
              <w:rPr>
                <w:rFonts w:ascii="Arial" w:hAnsi="Arial" w:cs="Arial"/>
                <w:sz w:val="20"/>
                <w:szCs w:val="20"/>
              </w:rPr>
              <w:t>Recommendation Amended –</w:t>
            </w:r>
          </w:p>
          <w:p w:rsidR="00633318" w:rsidRDefault="00633318" w:rsidP="00A52AD1">
            <w:pPr>
              <w:autoSpaceDE w:val="0"/>
              <w:autoSpaceDN w:val="0"/>
              <w:adjustRightInd w:val="0"/>
              <w:rPr>
                <w:rFonts w:ascii="Arial" w:hAnsi="Arial" w:cs="Arial"/>
                <w:sz w:val="20"/>
                <w:szCs w:val="20"/>
              </w:rPr>
            </w:pPr>
          </w:p>
          <w:p w:rsidR="00633318" w:rsidRPr="00CB630A" w:rsidRDefault="00633318" w:rsidP="00A52AD1">
            <w:pPr>
              <w:autoSpaceDE w:val="0"/>
              <w:autoSpaceDN w:val="0"/>
              <w:adjustRightInd w:val="0"/>
              <w:rPr>
                <w:rFonts w:ascii="Arial" w:hAnsi="Arial" w:cs="Arial"/>
                <w:sz w:val="20"/>
                <w:szCs w:val="20"/>
              </w:rPr>
            </w:pPr>
            <w:r>
              <w:rPr>
                <w:rFonts w:ascii="Arial" w:hAnsi="Arial" w:cs="Arial"/>
                <w:sz w:val="20"/>
                <w:szCs w:val="20"/>
              </w:rPr>
              <w:t xml:space="preserve">Instructions have defined a branch as a separate location from the parent Financial Institution.  </w:t>
            </w:r>
          </w:p>
        </w:tc>
        <w:tc>
          <w:tcPr>
            <w:tcW w:w="4292" w:type="dxa"/>
            <w:tcMar>
              <w:left w:w="86" w:type="dxa"/>
              <w:right w:w="86" w:type="dxa"/>
            </w:tcMar>
          </w:tcPr>
          <w:p w:rsidR="00045D25" w:rsidRPr="00075C0A" w:rsidRDefault="00045D25" w:rsidP="00A52AD1">
            <w:pPr>
              <w:rPr>
                <w:rFonts w:ascii="Arial" w:hAnsi="Arial" w:cs="Arial"/>
                <w:sz w:val="20"/>
                <w:szCs w:val="20"/>
              </w:rPr>
            </w:pPr>
            <w:r w:rsidRPr="00075C0A">
              <w:rPr>
                <w:rFonts w:ascii="Arial" w:hAnsi="Arial" w:cs="Arial"/>
                <w:sz w:val="20"/>
                <w:szCs w:val="20"/>
              </w:rPr>
              <w:t xml:space="preserve">Instructions have been added to clarify the definition of a branch. </w:t>
            </w:r>
          </w:p>
          <w:p w:rsidR="00045D25" w:rsidRPr="00075C0A" w:rsidRDefault="00045D25" w:rsidP="00A52AD1">
            <w:pPr>
              <w:rPr>
                <w:rFonts w:ascii="Arial" w:hAnsi="Arial" w:cs="Arial"/>
                <w:sz w:val="20"/>
                <w:szCs w:val="20"/>
              </w:rPr>
            </w:pPr>
          </w:p>
          <w:p w:rsidR="00045D25" w:rsidRDefault="00045D25" w:rsidP="00045D25">
            <w:pPr>
              <w:rPr>
                <w:rFonts w:ascii="Palatino Linotype" w:hAnsi="Palatino Linotype"/>
                <w:spacing w:val="-1"/>
                <w:szCs w:val="24"/>
              </w:rPr>
            </w:pPr>
            <w:r w:rsidRPr="00075C0A">
              <w:rPr>
                <w:rFonts w:ascii="Arial" w:hAnsi="Arial" w:cs="Arial"/>
                <w:sz w:val="20"/>
                <w:szCs w:val="20"/>
              </w:rPr>
              <w:t>Branch - a transaction location (such as an office or ATM) owned by the financial institution but located separately from the financial institution’s headquarters.</w:t>
            </w:r>
          </w:p>
          <w:p w:rsidR="00A52AD1" w:rsidRPr="00CB630A" w:rsidRDefault="00EA58AF" w:rsidP="00A52AD1">
            <w:pPr>
              <w:rPr>
                <w:rFonts w:ascii="Arial" w:hAnsi="Arial" w:cs="Arial"/>
                <w:sz w:val="20"/>
                <w:szCs w:val="20"/>
                <w:highlight w:val="yellow"/>
              </w:rPr>
            </w:pPr>
            <w:r w:rsidRPr="00EA58AF">
              <w:rPr>
                <w:rFonts w:ascii="Arial" w:hAnsi="Arial" w:cs="Arial"/>
                <w:sz w:val="20"/>
                <w:szCs w:val="20"/>
              </w:rPr>
              <w:t xml:space="preserve"> </w:t>
            </w:r>
          </w:p>
        </w:tc>
      </w:tr>
      <w:tr w:rsidR="00A52AD1" w:rsidRPr="00CB630A" w:rsidTr="0080583E">
        <w:tc>
          <w:tcPr>
            <w:tcW w:w="780" w:type="dxa"/>
          </w:tcPr>
          <w:p w:rsidR="00A52AD1" w:rsidRPr="0080583E" w:rsidRDefault="00A52AD1" w:rsidP="0080583E">
            <w:pPr>
              <w:pStyle w:val="ListParagraph"/>
              <w:numPr>
                <w:ilvl w:val="0"/>
                <w:numId w:val="44"/>
              </w:numPr>
              <w:jc w:val="both"/>
              <w:rPr>
                <w:rFonts w:ascii="Arial" w:hAnsi="Arial" w:cs="Arial"/>
                <w:sz w:val="20"/>
                <w:szCs w:val="20"/>
              </w:rPr>
            </w:pPr>
          </w:p>
        </w:tc>
        <w:tc>
          <w:tcPr>
            <w:tcW w:w="4030" w:type="dxa"/>
            <w:tcMar>
              <w:left w:w="86" w:type="dxa"/>
              <w:right w:w="86" w:type="dxa"/>
            </w:tcMar>
          </w:tcPr>
          <w:p w:rsidR="00A52AD1" w:rsidRDefault="00A52AD1" w:rsidP="00A52AD1">
            <w:pPr>
              <w:autoSpaceDE w:val="0"/>
              <w:autoSpaceDN w:val="0"/>
              <w:adjustRightInd w:val="0"/>
              <w:rPr>
                <w:rFonts w:ascii="Arial" w:hAnsi="Arial" w:cs="Arial"/>
                <w:sz w:val="20"/>
                <w:szCs w:val="20"/>
              </w:rPr>
            </w:pPr>
            <w:r>
              <w:rPr>
                <w:rFonts w:ascii="Arial" w:hAnsi="Arial" w:cs="Arial"/>
                <w:sz w:val="20"/>
                <w:szCs w:val="20"/>
              </w:rPr>
              <w:t>Cash In/Cash Out @ Transactional Level</w:t>
            </w:r>
          </w:p>
          <w:p w:rsidR="00A52AD1" w:rsidRDefault="00A52AD1" w:rsidP="00A52AD1">
            <w:pPr>
              <w:autoSpaceDE w:val="0"/>
              <w:autoSpaceDN w:val="0"/>
              <w:adjustRightInd w:val="0"/>
              <w:rPr>
                <w:rFonts w:ascii="Arial" w:hAnsi="Arial" w:cs="Arial"/>
                <w:sz w:val="20"/>
                <w:szCs w:val="20"/>
              </w:rPr>
            </w:pPr>
          </w:p>
          <w:p w:rsidR="00A52AD1" w:rsidRPr="00CB630A" w:rsidRDefault="00A52AD1" w:rsidP="00A52AD1">
            <w:pPr>
              <w:autoSpaceDE w:val="0"/>
              <w:autoSpaceDN w:val="0"/>
              <w:adjustRightInd w:val="0"/>
              <w:rPr>
                <w:rFonts w:ascii="Arial" w:hAnsi="Arial" w:cs="Arial"/>
                <w:sz w:val="20"/>
                <w:szCs w:val="20"/>
              </w:rPr>
            </w:pPr>
            <w:r>
              <w:rPr>
                <w:rFonts w:ascii="Arial" w:hAnsi="Arial" w:cs="Arial"/>
                <w:sz w:val="20"/>
                <w:szCs w:val="20"/>
              </w:rPr>
              <w:t>(</w:t>
            </w:r>
            <w:r w:rsidRPr="00CB630A">
              <w:rPr>
                <w:rFonts w:ascii="Arial" w:hAnsi="Arial" w:cs="Arial"/>
                <w:sz w:val="20"/>
                <w:szCs w:val="20"/>
              </w:rPr>
              <w:t>5</w:t>
            </w:r>
            <w:r>
              <w:rPr>
                <w:rFonts w:ascii="Arial" w:hAnsi="Arial" w:cs="Arial"/>
                <w:sz w:val="20"/>
                <w:szCs w:val="20"/>
              </w:rPr>
              <w:t>)</w:t>
            </w:r>
            <w:r w:rsidRPr="00CB630A">
              <w:rPr>
                <w:rFonts w:ascii="Arial" w:hAnsi="Arial" w:cs="Arial"/>
                <w:sz w:val="20"/>
                <w:szCs w:val="20"/>
              </w:rPr>
              <w:t xml:space="preserve"> - the proposal provides no explanation as to why the collection of such granular information on a branch-by-branch basis would be helpful to FinCEN or law enforcement as it works to combat financial crimes and terrorism. Therefore, we respectfully request that FinCEN clarify that the proposed additions of “cash-in” and “cash-out” fields in Part III of the BCTR are intended to capture cash flowing in and out of branches that are part of transactions reported pursuant to a shared branching arrangement (as we suggest that term be defined in section II, below), primarily in the context of credit union cooperatives and the limited universe of other financial institutions that may use shared branching networks, rather than cash flowing in and out of branches of financial institutions that are not reporting transactions pursuant to a shared branching arrangement. If FinCEN proceeds with requiring all covered institutions to provide branch-by-branch information, we believe that FinCEN should conduct a considered study of the costs of such a requirement as compared to the likely benefits.</w:t>
            </w:r>
          </w:p>
          <w:p w:rsidR="00A52AD1" w:rsidRPr="00CB630A" w:rsidRDefault="00A52AD1" w:rsidP="00A52AD1">
            <w:pPr>
              <w:autoSpaceDE w:val="0"/>
              <w:autoSpaceDN w:val="0"/>
              <w:adjustRightInd w:val="0"/>
              <w:rPr>
                <w:rFonts w:ascii="Arial" w:hAnsi="Arial" w:cs="Arial"/>
                <w:sz w:val="20"/>
                <w:szCs w:val="20"/>
              </w:rPr>
            </w:pPr>
          </w:p>
          <w:p w:rsidR="00A52AD1" w:rsidRPr="00CB630A" w:rsidRDefault="00A52AD1" w:rsidP="00A52AD1">
            <w:pPr>
              <w:autoSpaceDE w:val="0"/>
              <w:autoSpaceDN w:val="0"/>
              <w:adjustRightInd w:val="0"/>
              <w:rPr>
                <w:rFonts w:ascii="Arial" w:hAnsi="Arial" w:cs="Arial"/>
                <w:sz w:val="20"/>
                <w:szCs w:val="20"/>
              </w:rPr>
            </w:pPr>
            <w:r>
              <w:rPr>
                <w:rFonts w:ascii="Arial" w:hAnsi="Arial" w:cs="Arial"/>
                <w:sz w:val="20"/>
                <w:szCs w:val="20"/>
              </w:rPr>
              <w:t>(</w:t>
            </w:r>
            <w:r w:rsidRPr="00CB630A">
              <w:rPr>
                <w:rFonts w:ascii="Arial" w:hAnsi="Arial" w:cs="Arial"/>
                <w:sz w:val="20"/>
                <w:szCs w:val="20"/>
              </w:rPr>
              <w:t>8</w:t>
            </w:r>
            <w:r>
              <w:rPr>
                <w:rFonts w:ascii="Arial" w:hAnsi="Arial" w:cs="Arial"/>
                <w:sz w:val="20"/>
                <w:szCs w:val="20"/>
              </w:rPr>
              <w:t>)</w:t>
            </w:r>
            <w:r w:rsidRPr="00CB630A">
              <w:rPr>
                <w:rFonts w:ascii="Arial" w:hAnsi="Arial" w:cs="Arial"/>
                <w:sz w:val="20"/>
                <w:szCs w:val="20"/>
              </w:rPr>
              <w:t xml:space="preserve"> - Part III of the revised BCTR form would add new fields to report the total cash-in and cash-out for each location.13 FinCEN did not explain why this information is needed or why existing </w:t>
            </w:r>
            <w:r w:rsidRPr="00CB630A">
              <w:rPr>
                <w:rFonts w:ascii="Arial" w:hAnsi="Arial" w:cs="Arial"/>
                <w:sz w:val="20"/>
                <w:szCs w:val="20"/>
              </w:rPr>
              <w:lastRenderedPageBreak/>
              <w:t>mechanisms are inadequate, or estimate the burden imposed by this information collection requirement—all of which are required by the PRA</w:t>
            </w:r>
          </w:p>
        </w:tc>
        <w:tc>
          <w:tcPr>
            <w:tcW w:w="1062" w:type="dxa"/>
            <w:tcMar>
              <w:left w:w="86" w:type="dxa"/>
              <w:right w:w="86" w:type="dxa"/>
            </w:tcMar>
          </w:tcPr>
          <w:p w:rsidR="00A52AD1" w:rsidRPr="00CB630A" w:rsidRDefault="00A52AD1" w:rsidP="00A52AD1">
            <w:pPr>
              <w:rPr>
                <w:rFonts w:ascii="Arial" w:hAnsi="Arial" w:cs="Arial"/>
                <w:sz w:val="20"/>
                <w:szCs w:val="20"/>
              </w:rPr>
            </w:pPr>
            <w:r>
              <w:rPr>
                <w:rFonts w:ascii="Arial" w:hAnsi="Arial" w:cs="Arial"/>
                <w:sz w:val="20"/>
                <w:szCs w:val="20"/>
              </w:rPr>
              <w:lastRenderedPageBreak/>
              <w:t>4/2016</w:t>
            </w:r>
          </w:p>
        </w:tc>
        <w:tc>
          <w:tcPr>
            <w:tcW w:w="4236" w:type="dxa"/>
            <w:tcMar>
              <w:left w:w="86" w:type="dxa"/>
              <w:right w:w="86" w:type="dxa"/>
            </w:tcMar>
          </w:tcPr>
          <w:p w:rsidR="005F4C84" w:rsidRPr="005F4C84" w:rsidRDefault="005F4C84" w:rsidP="007C35ED">
            <w:pPr>
              <w:rPr>
                <w:rFonts w:ascii="Arial" w:hAnsi="Arial" w:cs="Arial"/>
                <w:sz w:val="20"/>
                <w:szCs w:val="20"/>
              </w:rPr>
            </w:pPr>
            <w:r w:rsidRPr="005F4C84">
              <w:rPr>
                <w:rFonts w:ascii="Arial" w:hAnsi="Arial" w:cs="Arial"/>
                <w:sz w:val="20"/>
                <w:szCs w:val="20"/>
              </w:rPr>
              <w:t>Recommendation Declined</w:t>
            </w:r>
          </w:p>
          <w:p w:rsidR="005F4C84" w:rsidRPr="005F4C84" w:rsidRDefault="005F4C84" w:rsidP="007C35ED">
            <w:pPr>
              <w:rPr>
                <w:rFonts w:ascii="Arial" w:hAnsi="Arial" w:cs="Arial"/>
                <w:sz w:val="20"/>
                <w:szCs w:val="20"/>
              </w:rPr>
            </w:pPr>
          </w:p>
          <w:p w:rsidR="007C35ED" w:rsidRPr="00661206" w:rsidRDefault="007C35ED" w:rsidP="007C35ED">
            <w:pPr>
              <w:rPr>
                <w:rFonts w:ascii="Arial" w:hAnsi="Arial" w:cs="Arial"/>
                <w:sz w:val="20"/>
                <w:szCs w:val="20"/>
              </w:rPr>
            </w:pPr>
            <w:r w:rsidRPr="005F4C84">
              <w:rPr>
                <w:rFonts w:ascii="Arial" w:hAnsi="Arial" w:cs="Arial"/>
                <w:sz w:val="20"/>
                <w:szCs w:val="20"/>
              </w:rPr>
              <w:t>FinCEN has the authority to ask for all the locations where the transaction</w:t>
            </w:r>
            <w:r w:rsidR="005F4C84">
              <w:rPr>
                <w:rFonts w:ascii="Arial" w:hAnsi="Arial" w:cs="Arial"/>
                <w:sz w:val="20"/>
                <w:szCs w:val="20"/>
              </w:rPr>
              <w:t>s</w:t>
            </w:r>
            <w:r w:rsidRPr="005F4C84">
              <w:rPr>
                <w:rFonts w:ascii="Arial" w:hAnsi="Arial" w:cs="Arial"/>
                <w:sz w:val="20"/>
                <w:szCs w:val="20"/>
              </w:rPr>
              <w:t xml:space="preserve"> took place </w:t>
            </w:r>
            <w:r w:rsidR="005F4C84">
              <w:rPr>
                <w:rFonts w:ascii="Arial" w:hAnsi="Arial" w:cs="Arial"/>
                <w:sz w:val="20"/>
                <w:szCs w:val="20"/>
              </w:rPr>
              <w:t xml:space="preserve">as well as the dollar amount associated at each location </w:t>
            </w:r>
            <w:r w:rsidRPr="005F4C84">
              <w:rPr>
                <w:rFonts w:ascii="Arial" w:hAnsi="Arial" w:cs="Arial"/>
                <w:sz w:val="20"/>
                <w:szCs w:val="20"/>
              </w:rPr>
              <w:t>which will be a benefit to law enforcement.</w:t>
            </w:r>
          </w:p>
          <w:p w:rsidR="00A52AD1" w:rsidRPr="00CB630A" w:rsidRDefault="00A52AD1" w:rsidP="00A52AD1">
            <w:pPr>
              <w:autoSpaceDE w:val="0"/>
              <w:autoSpaceDN w:val="0"/>
              <w:adjustRightInd w:val="0"/>
              <w:rPr>
                <w:rFonts w:ascii="Arial" w:hAnsi="Arial" w:cs="Arial"/>
                <w:sz w:val="20"/>
                <w:szCs w:val="20"/>
              </w:rPr>
            </w:pPr>
          </w:p>
        </w:tc>
        <w:tc>
          <w:tcPr>
            <w:tcW w:w="4292" w:type="dxa"/>
            <w:tcMar>
              <w:left w:w="86" w:type="dxa"/>
              <w:right w:w="86" w:type="dxa"/>
            </w:tcMar>
          </w:tcPr>
          <w:p w:rsidR="00A52AD1" w:rsidRPr="00CB630A" w:rsidRDefault="00A52AD1" w:rsidP="00A52AD1">
            <w:pPr>
              <w:rPr>
                <w:rFonts w:ascii="Arial" w:hAnsi="Arial" w:cs="Arial"/>
                <w:sz w:val="20"/>
                <w:szCs w:val="20"/>
                <w:highlight w:val="yellow"/>
              </w:rPr>
            </w:pPr>
          </w:p>
        </w:tc>
      </w:tr>
      <w:tr w:rsidR="00A52AD1" w:rsidRPr="00CB630A" w:rsidTr="0080583E">
        <w:tc>
          <w:tcPr>
            <w:tcW w:w="780" w:type="dxa"/>
          </w:tcPr>
          <w:p w:rsidR="00A52AD1" w:rsidRPr="0080583E" w:rsidRDefault="00A52AD1" w:rsidP="0080583E">
            <w:pPr>
              <w:pStyle w:val="ListParagraph"/>
              <w:numPr>
                <w:ilvl w:val="0"/>
                <w:numId w:val="44"/>
              </w:numPr>
              <w:jc w:val="both"/>
              <w:rPr>
                <w:rFonts w:ascii="Arial" w:hAnsi="Arial" w:cs="Arial"/>
                <w:sz w:val="20"/>
                <w:szCs w:val="20"/>
              </w:rPr>
            </w:pPr>
          </w:p>
        </w:tc>
        <w:tc>
          <w:tcPr>
            <w:tcW w:w="4030" w:type="dxa"/>
            <w:tcMar>
              <w:left w:w="86" w:type="dxa"/>
              <w:right w:w="86" w:type="dxa"/>
            </w:tcMar>
          </w:tcPr>
          <w:p w:rsidR="00A52AD1" w:rsidRDefault="00A52AD1" w:rsidP="00A52AD1">
            <w:pPr>
              <w:autoSpaceDE w:val="0"/>
              <w:autoSpaceDN w:val="0"/>
              <w:adjustRightInd w:val="0"/>
              <w:rPr>
                <w:rFonts w:ascii="Arial" w:hAnsi="Arial" w:cs="Arial"/>
                <w:sz w:val="20"/>
                <w:szCs w:val="20"/>
              </w:rPr>
            </w:pPr>
            <w:r>
              <w:rPr>
                <w:rFonts w:ascii="Arial" w:hAnsi="Arial" w:cs="Arial"/>
                <w:sz w:val="20"/>
                <w:szCs w:val="20"/>
              </w:rPr>
              <w:t>Cash In/Cash Out @ Transactional Level</w:t>
            </w:r>
          </w:p>
          <w:p w:rsidR="00A52AD1" w:rsidRDefault="00A52AD1" w:rsidP="00A52AD1">
            <w:pPr>
              <w:autoSpaceDE w:val="0"/>
              <w:autoSpaceDN w:val="0"/>
              <w:adjustRightInd w:val="0"/>
              <w:rPr>
                <w:rFonts w:ascii="Arial" w:hAnsi="Arial" w:cs="Arial"/>
                <w:sz w:val="20"/>
                <w:szCs w:val="20"/>
              </w:rPr>
            </w:pPr>
            <w:r>
              <w:rPr>
                <w:rFonts w:ascii="Arial" w:hAnsi="Arial" w:cs="Arial"/>
                <w:sz w:val="20"/>
                <w:szCs w:val="20"/>
              </w:rPr>
              <w:t xml:space="preserve"> </w:t>
            </w:r>
          </w:p>
          <w:p w:rsidR="00A52AD1" w:rsidRPr="00CB630A" w:rsidRDefault="00A52AD1" w:rsidP="00A52AD1">
            <w:pPr>
              <w:autoSpaceDE w:val="0"/>
              <w:autoSpaceDN w:val="0"/>
              <w:adjustRightInd w:val="0"/>
              <w:rPr>
                <w:rFonts w:ascii="Arial" w:hAnsi="Arial" w:cs="Arial"/>
                <w:sz w:val="20"/>
                <w:szCs w:val="20"/>
              </w:rPr>
            </w:pPr>
            <w:r>
              <w:rPr>
                <w:rFonts w:ascii="Arial" w:hAnsi="Arial" w:cs="Arial"/>
                <w:sz w:val="20"/>
                <w:szCs w:val="20"/>
              </w:rPr>
              <w:t>(</w:t>
            </w:r>
            <w:r w:rsidRPr="00CB630A">
              <w:rPr>
                <w:rFonts w:ascii="Arial" w:hAnsi="Arial" w:cs="Arial"/>
                <w:sz w:val="20"/>
                <w:szCs w:val="20"/>
              </w:rPr>
              <w:t>5</w:t>
            </w:r>
            <w:r>
              <w:rPr>
                <w:rFonts w:ascii="Arial" w:hAnsi="Arial" w:cs="Arial"/>
                <w:sz w:val="20"/>
                <w:szCs w:val="20"/>
              </w:rPr>
              <w:t>)</w:t>
            </w:r>
            <w:r w:rsidRPr="00CB630A">
              <w:rPr>
                <w:rFonts w:ascii="Arial" w:hAnsi="Arial" w:cs="Arial"/>
                <w:sz w:val="20"/>
                <w:szCs w:val="20"/>
              </w:rPr>
              <w:t xml:space="preserve"> - we also request that FinCEN clarify that the proposed additions of “cash-in” and “cash-out” fields in Part III are intended to capture cash flowing in and out of branches that are part of transactions reported pursuant to a shared branching arrangement, as we propose that term be clarified.</w:t>
            </w:r>
          </w:p>
        </w:tc>
        <w:tc>
          <w:tcPr>
            <w:tcW w:w="1062" w:type="dxa"/>
            <w:tcMar>
              <w:left w:w="86" w:type="dxa"/>
              <w:right w:w="86" w:type="dxa"/>
            </w:tcMar>
          </w:tcPr>
          <w:p w:rsidR="00A52AD1" w:rsidRPr="00CB630A" w:rsidRDefault="00A52AD1" w:rsidP="00A52AD1">
            <w:pPr>
              <w:rPr>
                <w:rFonts w:ascii="Arial" w:hAnsi="Arial" w:cs="Arial"/>
                <w:sz w:val="20"/>
                <w:szCs w:val="20"/>
              </w:rPr>
            </w:pPr>
            <w:r>
              <w:rPr>
                <w:rFonts w:ascii="Arial" w:hAnsi="Arial" w:cs="Arial"/>
                <w:sz w:val="20"/>
                <w:szCs w:val="20"/>
              </w:rPr>
              <w:t>4/2016</w:t>
            </w:r>
          </w:p>
        </w:tc>
        <w:tc>
          <w:tcPr>
            <w:tcW w:w="4236" w:type="dxa"/>
            <w:tcMar>
              <w:left w:w="86" w:type="dxa"/>
              <w:right w:w="86" w:type="dxa"/>
            </w:tcMar>
          </w:tcPr>
          <w:p w:rsidR="00A52AD1" w:rsidRDefault="00123C19" w:rsidP="00A52AD1">
            <w:pPr>
              <w:autoSpaceDE w:val="0"/>
              <w:autoSpaceDN w:val="0"/>
              <w:adjustRightInd w:val="0"/>
              <w:rPr>
                <w:rFonts w:ascii="Arial" w:hAnsi="Arial" w:cs="Arial"/>
                <w:sz w:val="20"/>
                <w:szCs w:val="20"/>
              </w:rPr>
            </w:pPr>
            <w:r>
              <w:rPr>
                <w:rFonts w:ascii="Arial" w:hAnsi="Arial" w:cs="Arial"/>
                <w:sz w:val="20"/>
                <w:szCs w:val="20"/>
              </w:rPr>
              <w:t xml:space="preserve">Recommendation Declined </w:t>
            </w:r>
          </w:p>
          <w:p w:rsidR="00123C19" w:rsidRDefault="00123C19" w:rsidP="00A52AD1">
            <w:pPr>
              <w:autoSpaceDE w:val="0"/>
              <w:autoSpaceDN w:val="0"/>
              <w:adjustRightInd w:val="0"/>
              <w:rPr>
                <w:rFonts w:ascii="Arial" w:hAnsi="Arial" w:cs="Arial"/>
                <w:sz w:val="20"/>
                <w:szCs w:val="20"/>
              </w:rPr>
            </w:pPr>
          </w:p>
          <w:p w:rsidR="00123C19" w:rsidRDefault="00123C19" w:rsidP="00A52AD1">
            <w:pPr>
              <w:autoSpaceDE w:val="0"/>
              <w:autoSpaceDN w:val="0"/>
              <w:adjustRightInd w:val="0"/>
              <w:rPr>
                <w:rFonts w:ascii="Arial" w:hAnsi="Arial" w:cs="Arial"/>
                <w:sz w:val="20"/>
                <w:szCs w:val="20"/>
              </w:rPr>
            </w:pPr>
            <w:r>
              <w:rPr>
                <w:rFonts w:ascii="Arial" w:hAnsi="Arial" w:cs="Arial"/>
                <w:sz w:val="20"/>
                <w:szCs w:val="20"/>
              </w:rPr>
              <w:t>Cash in and Cash out for Part III regardless of the filer reflects the amount for that specific transaction location.</w:t>
            </w:r>
          </w:p>
          <w:p w:rsidR="00123C19" w:rsidRPr="00CB630A" w:rsidRDefault="00123C19" w:rsidP="00A52AD1">
            <w:pPr>
              <w:autoSpaceDE w:val="0"/>
              <w:autoSpaceDN w:val="0"/>
              <w:adjustRightInd w:val="0"/>
              <w:rPr>
                <w:rFonts w:ascii="Arial" w:hAnsi="Arial" w:cs="Arial"/>
                <w:sz w:val="20"/>
                <w:szCs w:val="20"/>
              </w:rPr>
            </w:pPr>
          </w:p>
        </w:tc>
        <w:tc>
          <w:tcPr>
            <w:tcW w:w="4292" w:type="dxa"/>
            <w:tcMar>
              <w:left w:w="86" w:type="dxa"/>
              <w:right w:w="86" w:type="dxa"/>
            </w:tcMar>
          </w:tcPr>
          <w:p w:rsidR="00A52AD1" w:rsidRPr="00CB630A" w:rsidRDefault="00A52AD1" w:rsidP="00A52AD1">
            <w:pPr>
              <w:rPr>
                <w:rFonts w:ascii="Arial" w:hAnsi="Arial" w:cs="Arial"/>
                <w:sz w:val="20"/>
                <w:szCs w:val="20"/>
                <w:highlight w:val="yellow"/>
              </w:rPr>
            </w:pPr>
          </w:p>
        </w:tc>
      </w:tr>
      <w:tr w:rsidR="00A52AD1" w:rsidRPr="00CB630A" w:rsidTr="0080583E">
        <w:tc>
          <w:tcPr>
            <w:tcW w:w="780" w:type="dxa"/>
          </w:tcPr>
          <w:p w:rsidR="00A52AD1" w:rsidRPr="0080583E" w:rsidRDefault="00A52AD1" w:rsidP="0080583E">
            <w:pPr>
              <w:pStyle w:val="ListParagraph"/>
              <w:numPr>
                <w:ilvl w:val="0"/>
                <w:numId w:val="44"/>
              </w:numPr>
              <w:jc w:val="both"/>
              <w:rPr>
                <w:rFonts w:ascii="Arial" w:hAnsi="Arial" w:cs="Arial"/>
                <w:sz w:val="20"/>
                <w:szCs w:val="20"/>
              </w:rPr>
            </w:pPr>
          </w:p>
        </w:tc>
        <w:tc>
          <w:tcPr>
            <w:tcW w:w="4030" w:type="dxa"/>
            <w:tcMar>
              <w:left w:w="86" w:type="dxa"/>
              <w:right w:w="86" w:type="dxa"/>
            </w:tcMar>
          </w:tcPr>
          <w:p w:rsidR="00A52AD1" w:rsidRDefault="00A52AD1" w:rsidP="00A52AD1">
            <w:pPr>
              <w:autoSpaceDE w:val="0"/>
              <w:autoSpaceDN w:val="0"/>
              <w:adjustRightInd w:val="0"/>
              <w:rPr>
                <w:rFonts w:ascii="Arial" w:hAnsi="Arial" w:cs="Arial"/>
                <w:sz w:val="20"/>
                <w:szCs w:val="20"/>
              </w:rPr>
            </w:pPr>
            <w:r>
              <w:rPr>
                <w:rFonts w:ascii="Arial" w:hAnsi="Arial" w:cs="Arial"/>
                <w:sz w:val="20"/>
                <w:szCs w:val="20"/>
              </w:rPr>
              <w:t>Cash In/Cash Out @ Transactional Level</w:t>
            </w:r>
          </w:p>
          <w:p w:rsidR="00A52AD1" w:rsidRDefault="00A52AD1" w:rsidP="00A52AD1">
            <w:pPr>
              <w:autoSpaceDE w:val="0"/>
              <w:autoSpaceDN w:val="0"/>
              <w:adjustRightInd w:val="0"/>
              <w:rPr>
                <w:rFonts w:ascii="Arial" w:hAnsi="Arial" w:cs="Arial"/>
                <w:sz w:val="20"/>
                <w:szCs w:val="20"/>
              </w:rPr>
            </w:pPr>
          </w:p>
          <w:p w:rsidR="00A52AD1" w:rsidRDefault="00A52AD1" w:rsidP="00A52AD1">
            <w:pPr>
              <w:autoSpaceDE w:val="0"/>
              <w:autoSpaceDN w:val="0"/>
              <w:adjustRightInd w:val="0"/>
              <w:rPr>
                <w:rFonts w:ascii="Arial" w:hAnsi="Arial" w:cs="Arial"/>
                <w:sz w:val="20"/>
                <w:szCs w:val="20"/>
              </w:rPr>
            </w:pPr>
            <w:r>
              <w:rPr>
                <w:rFonts w:ascii="Arial" w:hAnsi="Arial" w:cs="Arial"/>
                <w:sz w:val="20"/>
                <w:szCs w:val="20"/>
              </w:rPr>
              <w:t>(</w:t>
            </w:r>
            <w:r w:rsidRPr="00CB630A">
              <w:rPr>
                <w:rFonts w:ascii="Arial" w:hAnsi="Arial" w:cs="Arial"/>
                <w:sz w:val="20"/>
                <w:szCs w:val="20"/>
              </w:rPr>
              <w:t>7</w:t>
            </w:r>
            <w:r>
              <w:rPr>
                <w:rFonts w:ascii="Arial" w:hAnsi="Arial" w:cs="Arial"/>
                <w:sz w:val="20"/>
                <w:szCs w:val="20"/>
              </w:rPr>
              <w:t>)</w:t>
            </w:r>
            <w:r w:rsidRPr="00CB630A">
              <w:rPr>
                <w:rFonts w:ascii="Arial" w:hAnsi="Arial" w:cs="Arial"/>
                <w:sz w:val="20"/>
                <w:szCs w:val="20"/>
              </w:rPr>
              <w:t xml:space="preserve"> - Proposed changes include adding cash-in and cash-out amount fields for each transaction location reported on Part III. AFCU is concerned that the addition of these fields may cause a false appearance of</w:t>
            </w:r>
            <w:r w:rsidR="003F4332">
              <w:rPr>
                <w:rFonts w:ascii="Arial" w:hAnsi="Arial" w:cs="Arial"/>
                <w:sz w:val="20"/>
                <w:szCs w:val="20"/>
              </w:rPr>
              <w:t xml:space="preserve"> </w:t>
            </w:r>
            <w:r w:rsidRPr="00CB630A">
              <w:rPr>
                <w:rFonts w:ascii="Arial" w:hAnsi="Arial" w:cs="Arial"/>
                <w:sz w:val="20"/>
                <w:szCs w:val="20"/>
              </w:rPr>
              <w:t>structuring, specifically as it relates to the use of credit union shared branching by licensed money transmitters ("Licensed Money Transmitters" or "LMT").</w:t>
            </w:r>
          </w:p>
          <w:p w:rsidR="00A52AD1" w:rsidRPr="00CB630A" w:rsidRDefault="00A52AD1" w:rsidP="00A52AD1">
            <w:pPr>
              <w:autoSpaceDE w:val="0"/>
              <w:autoSpaceDN w:val="0"/>
              <w:adjustRightInd w:val="0"/>
              <w:rPr>
                <w:rFonts w:ascii="Arial" w:hAnsi="Arial" w:cs="Arial"/>
                <w:sz w:val="20"/>
                <w:szCs w:val="20"/>
              </w:rPr>
            </w:pPr>
          </w:p>
        </w:tc>
        <w:tc>
          <w:tcPr>
            <w:tcW w:w="1062" w:type="dxa"/>
            <w:tcMar>
              <w:left w:w="86" w:type="dxa"/>
              <w:right w:w="86" w:type="dxa"/>
            </w:tcMar>
          </w:tcPr>
          <w:p w:rsidR="00A52AD1" w:rsidRPr="00CB630A" w:rsidRDefault="00A52AD1" w:rsidP="00A52AD1">
            <w:pPr>
              <w:rPr>
                <w:rFonts w:ascii="Arial" w:hAnsi="Arial" w:cs="Arial"/>
                <w:sz w:val="20"/>
                <w:szCs w:val="20"/>
              </w:rPr>
            </w:pPr>
            <w:r>
              <w:rPr>
                <w:rFonts w:ascii="Arial" w:hAnsi="Arial" w:cs="Arial"/>
                <w:sz w:val="20"/>
                <w:szCs w:val="20"/>
              </w:rPr>
              <w:t>4/2016</w:t>
            </w:r>
          </w:p>
        </w:tc>
        <w:tc>
          <w:tcPr>
            <w:tcW w:w="4236" w:type="dxa"/>
            <w:tcMar>
              <w:left w:w="86" w:type="dxa"/>
              <w:right w:w="86" w:type="dxa"/>
            </w:tcMar>
          </w:tcPr>
          <w:p w:rsidR="00A52AD1" w:rsidRDefault="003F4332" w:rsidP="00A52AD1">
            <w:pPr>
              <w:autoSpaceDE w:val="0"/>
              <w:autoSpaceDN w:val="0"/>
              <w:adjustRightInd w:val="0"/>
              <w:rPr>
                <w:rFonts w:ascii="Arial" w:hAnsi="Arial" w:cs="Arial"/>
                <w:sz w:val="20"/>
                <w:szCs w:val="20"/>
              </w:rPr>
            </w:pPr>
            <w:r>
              <w:rPr>
                <w:rFonts w:ascii="Arial" w:hAnsi="Arial" w:cs="Arial"/>
                <w:sz w:val="20"/>
                <w:szCs w:val="20"/>
              </w:rPr>
              <w:t>Recommendation Declined</w:t>
            </w:r>
          </w:p>
          <w:p w:rsidR="003F4332" w:rsidRDefault="003F4332" w:rsidP="00A52AD1">
            <w:pPr>
              <w:autoSpaceDE w:val="0"/>
              <w:autoSpaceDN w:val="0"/>
              <w:adjustRightInd w:val="0"/>
              <w:rPr>
                <w:rFonts w:ascii="Arial" w:hAnsi="Arial" w:cs="Arial"/>
                <w:sz w:val="20"/>
                <w:szCs w:val="20"/>
              </w:rPr>
            </w:pPr>
          </w:p>
          <w:p w:rsidR="003F4332" w:rsidRPr="00CB630A" w:rsidRDefault="003F4332" w:rsidP="003F4332">
            <w:pPr>
              <w:autoSpaceDE w:val="0"/>
              <w:autoSpaceDN w:val="0"/>
              <w:adjustRightInd w:val="0"/>
              <w:rPr>
                <w:rFonts w:ascii="Arial" w:hAnsi="Arial" w:cs="Arial"/>
                <w:sz w:val="20"/>
                <w:szCs w:val="20"/>
              </w:rPr>
            </w:pPr>
            <w:r>
              <w:rPr>
                <w:rFonts w:ascii="Arial" w:hAnsi="Arial" w:cs="Arial"/>
                <w:sz w:val="20"/>
                <w:szCs w:val="20"/>
              </w:rPr>
              <w:t xml:space="preserve">It is the transaction location and or the parent filer’s responsibility to determine whether a transaction is suspicious; if it is suspicious they should file a SAR. </w:t>
            </w:r>
          </w:p>
        </w:tc>
        <w:tc>
          <w:tcPr>
            <w:tcW w:w="4292" w:type="dxa"/>
            <w:tcMar>
              <w:left w:w="86" w:type="dxa"/>
              <w:right w:w="86" w:type="dxa"/>
            </w:tcMar>
          </w:tcPr>
          <w:p w:rsidR="00A52AD1" w:rsidRPr="00CB630A" w:rsidRDefault="00A52AD1" w:rsidP="00A52AD1">
            <w:pPr>
              <w:rPr>
                <w:rFonts w:ascii="Arial" w:hAnsi="Arial" w:cs="Arial"/>
                <w:sz w:val="20"/>
                <w:szCs w:val="20"/>
                <w:highlight w:val="yellow"/>
              </w:rPr>
            </w:pPr>
          </w:p>
        </w:tc>
      </w:tr>
      <w:tr w:rsidR="00A52AD1" w:rsidRPr="00CB630A" w:rsidTr="0080583E">
        <w:tc>
          <w:tcPr>
            <w:tcW w:w="780" w:type="dxa"/>
          </w:tcPr>
          <w:p w:rsidR="00A52AD1" w:rsidRPr="0080583E" w:rsidRDefault="00A52AD1" w:rsidP="0080583E">
            <w:pPr>
              <w:pStyle w:val="ListParagraph"/>
              <w:numPr>
                <w:ilvl w:val="0"/>
                <w:numId w:val="44"/>
              </w:numPr>
              <w:jc w:val="both"/>
              <w:rPr>
                <w:rFonts w:ascii="Arial" w:hAnsi="Arial" w:cs="Arial"/>
                <w:sz w:val="20"/>
                <w:szCs w:val="20"/>
              </w:rPr>
            </w:pPr>
          </w:p>
        </w:tc>
        <w:tc>
          <w:tcPr>
            <w:tcW w:w="4030" w:type="dxa"/>
            <w:tcMar>
              <w:left w:w="86" w:type="dxa"/>
              <w:right w:w="86" w:type="dxa"/>
            </w:tcMar>
          </w:tcPr>
          <w:p w:rsidR="00A52AD1" w:rsidRDefault="00A52AD1" w:rsidP="00A52AD1">
            <w:pPr>
              <w:autoSpaceDE w:val="0"/>
              <w:autoSpaceDN w:val="0"/>
              <w:adjustRightInd w:val="0"/>
              <w:rPr>
                <w:rFonts w:ascii="Arial" w:hAnsi="Arial" w:cs="Arial"/>
                <w:sz w:val="20"/>
                <w:szCs w:val="20"/>
              </w:rPr>
            </w:pPr>
            <w:r>
              <w:rPr>
                <w:rFonts w:ascii="Arial" w:hAnsi="Arial" w:cs="Arial"/>
                <w:sz w:val="20"/>
                <w:szCs w:val="20"/>
              </w:rPr>
              <w:t>Definition</w:t>
            </w:r>
          </w:p>
          <w:p w:rsidR="00A52AD1" w:rsidRDefault="00A52AD1" w:rsidP="00A52AD1">
            <w:pPr>
              <w:autoSpaceDE w:val="0"/>
              <w:autoSpaceDN w:val="0"/>
              <w:adjustRightInd w:val="0"/>
              <w:rPr>
                <w:rFonts w:ascii="Arial" w:hAnsi="Arial" w:cs="Arial"/>
                <w:sz w:val="20"/>
                <w:szCs w:val="20"/>
              </w:rPr>
            </w:pPr>
          </w:p>
          <w:p w:rsidR="00A52AD1" w:rsidRPr="00CB630A" w:rsidRDefault="00A52AD1" w:rsidP="00A52AD1">
            <w:pPr>
              <w:autoSpaceDE w:val="0"/>
              <w:autoSpaceDN w:val="0"/>
              <w:adjustRightInd w:val="0"/>
              <w:rPr>
                <w:rFonts w:ascii="Arial" w:hAnsi="Arial" w:cs="Arial"/>
                <w:sz w:val="20"/>
                <w:szCs w:val="20"/>
              </w:rPr>
            </w:pPr>
            <w:r>
              <w:rPr>
                <w:rFonts w:ascii="Arial" w:hAnsi="Arial" w:cs="Arial"/>
                <w:sz w:val="20"/>
                <w:szCs w:val="20"/>
              </w:rPr>
              <w:t>(</w:t>
            </w:r>
            <w:r w:rsidRPr="00CB630A">
              <w:rPr>
                <w:rFonts w:ascii="Arial" w:hAnsi="Arial" w:cs="Arial"/>
                <w:sz w:val="20"/>
                <w:szCs w:val="20"/>
              </w:rPr>
              <w:t>5</w:t>
            </w:r>
            <w:r>
              <w:rPr>
                <w:rFonts w:ascii="Arial" w:hAnsi="Arial" w:cs="Arial"/>
                <w:sz w:val="20"/>
                <w:szCs w:val="20"/>
              </w:rPr>
              <w:t>)</w:t>
            </w:r>
            <w:r w:rsidRPr="00CB630A">
              <w:rPr>
                <w:rFonts w:ascii="Arial" w:hAnsi="Arial" w:cs="Arial"/>
                <w:sz w:val="20"/>
                <w:szCs w:val="20"/>
              </w:rPr>
              <w:t xml:space="preserve"> - </w:t>
            </w:r>
            <w:r w:rsidRPr="00CB630A">
              <w:rPr>
                <w:rFonts w:ascii="Arial" w:hAnsi="Arial" w:cs="Arial"/>
                <w:bCs/>
                <w:sz w:val="20"/>
                <w:szCs w:val="20"/>
              </w:rPr>
              <w:t xml:space="preserve">FinCEN should narrow its proposed definition of “teller” to make clear that it includes only customer-facing employees of the financial institution that accept currency in the normal course of business. </w:t>
            </w:r>
          </w:p>
          <w:p w:rsidR="00A52AD1" w:rsidRPr="00CB630A" w:rsidRDefault="00A52AD1" w:rsidP="00A52AD1">
            <w:pPr>
              <w:autoSpaceDE w:val="0"/>
              <w:autoSpaceDN w:val="0"/>
              <w:adjustRightInd w:val="0"/>
              <w:rPr>
                <w:rFonts w:ascii="Arial" w:hAnsi="Arial" w:cs="Arial"/>
                <w:sz w:val="20"/>
                <w:szCs w:val="20"/>
              </w:rPr>
            </w:pPr>
          </w:p>
        </w:tc>
        <w:tc>
          <w:tcPr>
            <w:tcW w:w="1062" w:type="dxa"/>
            <w:tcMar>
              <w:left w:w="86" w:type="dxa"/>
              <w:right w:w="86" w:type="dxa"/>
            </w:tcMar>
          </w:tcPr>
          <w:p w:rsidR="00A52AD1" w:rsidRPr="00CB630A" w:rsidRDefault="00A52AD1" w:rsidP="00A52AD1">
            <w:pPr>
              <w:rPr>
                <w:rFonts w:ascii="Arial" w:hAnsi="Arial" w:cs="Arial"/>
                <w:sz w:val="20"/>
                <w:szCs w:val="20"/>
              </w:rPr>
            </w:pPr>
            <w:r>
              <w:rPr>
                <w:rFonts w:ascii="Arial" w:hAnsi="Arial" w:cs="Arial"/>
                <w:sz w:val="20"/>
                <w:szCs w:val="20"/>
              </w:rPr>
              <w:t>4/2016</w:t>
            </w:r>
          </w:p>
        </w:tc>
        <w:tc>
          <w:tcPr>
            <w:tcW w:w="4236" w:type="dxa"/>
            <w:tcMar>
              <w:left w:w="86" w:type="dxa"/>
              <w:right w:w="86" w:type="dxa"/>
            </w:tcMar>
          </w:tcPr>
          <w:p w:rsidR="00D02C60" w:rsidRDefault="00D02C60" w:rsidP="006912FA">
            <w:pPr>
              <w:autoSpaceDE w:val="0"/>
              <w:autoSpaceDN w:val="0"/>
              <w:adjustRightInd w:val="0"/>
              <w:rPr>
                <w:rFonts w:ascii="Arial" w:hAnsi="Arial" w:cs="Arial"/>
                <w:sz w:val="20"/>
                <w:szCs w:val="20"/>
              </w:rPr>
            </w:pPr>
            <w:r>
              <w:rPr>
                <w:rFonts w:ascii="Arial" w:hAnsi="Arial" w:cs="Arial"/>
                <w:sz w:val="20"/>
                <w:szCs w:val="20"/>
              </w:rPr>
              <w:t xml:space="preserve">Recommendation </w:t>
            </w:r>
            <w:r w:rsidR="006912FA">
              <w:rPr>
                <w:rFonts w:ascii="Arial" w:hAnsi="Arial" w:cs="Arial"/>
                <w:sz w:val="20"/>
                <w:szCs w:val="20"/>
              </w:rPr>
              <w:t>Amended</w:t>
            </w:r>
          </w:p>
          <w:p w:rsidR="006912FA" w:rsidRDefault="006912FA" w:rsidP="006912FA">
            <w:pPr>
              <w:autoSpaceDE w:val="0"/>
              <w:autoSpaceDN w:val="0"/>
              <w:adjustRightInd w:val="0"/>
              <w:rPr>
                <w:rFonts w:ascii="Arial" w:hAnsi="Arial" w:cs="Arial"/>
                <w:sz w:val="20"/>
                <w:szCs w:val="20"/>
              </w:rPr>
            </w:pPr>
          </w:p>
          <w:p w:rsidR="00D02C60" w:rsidRDefault="00555932" w:rsidP="00A52AD1">
            <w:pPr>
              <w:autoSpaceDE w:val="0"/>
              <w:autoSpaceDN w:val="0"/>
              <w:adjustRightInd w:val="0"/>
              <w:rPr>
                <w:rFonts w:ascii="Arial" w:hAnsi="Arial" w:cs="Arial"/>
                <w:sz w:val="20"/>
                <w:szCs w:val="20"/>
              </w:rPr>
            </w:pPr>
            <w:r>
              <w:rPr>
                <w:rFonts w:ascii="Arial" w:hAnsi="Arial" w:cs="Arial"/>
                <w:sz w:val="20"/>
                <w:szCs w:val="20"/>
              </w:rPr>
              <w:t xml:space="preserve">The definition of a teller was designed to be expanded to include those employees from a casino perspective that either receive or distribute currency to anyone that is not an employee. </w:t>
            </w:r>
            <w:r w:rsidR="006912FA">
              <w:rPr>
                <w:rFonts w:ascii="Arial" w:hAnsi="Arial" w:cs="Arial"/>
                <w:sz w:val="20"/>
                <w:szCs w:val="20"/>
              </w:rPr>
              <w:t xml:space="preserve">This does not include armored car services. </w:t>
            </w:r>
          </w:p>
          <w:p w:rsidR="00D02C60" w:rsidRPr="00CB630A" w:rsidRDefault="00D02C60" w:rsidP="00A52AD1">
            <w:pPr>
              <w:autoSpaceDE w:val="0"/>
              <w:autoSpaceDN w:val="0"/>
              <w:adjustRightInd w:val="0"/>
              <w:rPr>
                <w:rFonts w:ascii="Arial" w:hAnsi="Arial" w:cs="Arial"/>
                <w:sz w:val="20"/>
                <w:szCs w:val="20"/>
              </w:rPr>
            </w:pPr>
          </w:p>
        </w:tc>
        <w:tc>
          <w:tcPr>
            <w:tcW w:w="4292" w:type="dxa"/>
            <w:tcMar>
              <w:left w:w="86" w:type="dxa"/>
              <w:right w:w="86" w:type="dxa"/>
            </w:tcMar>
          </w:tcPr>
          <w:p w:rsidR="00A52AD1" w:rsidRPr="00075C0A" w:rsidRDefault="006912FA" w:rsidP="006912FA">
            <w:pPr>
              <w:rPr>
                <w:rFonts w:ascii="Arial" w:hAnsi="Arial" w:cs="Arial"/>
                <w:sz w:val="20"/>
                <w:szCs w:val="20"/>
              </w:rPr>
            </w:pPr>
            <w:r w:rsidRPr="00075C0A">
              <w:rPr>
                <w:rFonts w:ascii="Arial" w:hAnsi="Arial" w:cs="Arial"/>
                <w:sz w:val="20"/>
                <w:szCs w:val="20"/>
              </w:rPr>
              <w:t>Instructions will be clarified to provide clarification of the definition of a teller</w:t>
            </w:r>
            <w:r w:rsidR="00611782" w:rsidRPr="00075C0A">
              <w:rPr>
                <w:rFonts w:ascii="Arial" w:hAnsi="Arial" w:cs="Arial"/>
                <w:sz w:val="20"/>
                <w:szCs w:val="20"/>
              </w:rPr>
              <w:t xml:space="preserve"> and of a branch</w:t>
            </w:r>
            <w:r w:rsidRPr="00075C0A">
              <w:rPr>
                <w:rFonts w:ascii="Arial" w:hAnsi="Arial" w:cs="Arial"/>
                <w:sz w:val="20"/>
                <w:szCs w:val="20"/>
              </w:rPr>
              <w:t>. Potentially as follows:</w:t>
            </w:r>
          </w:p>
          <w:p w:rsidR="006912FA" w:rsidRPr="00075C0A" w:rsidRDefault="006912FA" w:rsidP="006912FA">
            <w:pPr>
              <w:rPr>
                <w:rFonts w:ascii="Arial" w:hAnsi="Arial" w:cs="Arial"/>
                <w:sz w:val="20"/>
                <w:szCs w:val="20"/>
              </w:rPr>
            </w:pPr>
          </w:p>
          <w:p w:rsidR="00611782" w:rsidRPr="00075C0A" w:rsidRDefault="00611782" w:rsidP="00611782">
            <w:pPr>
              <w:overflowPunct w:val="0"/>
              <w:autoSpaceDE w:val="0"/>
              <w:autoSpaceDN w:val="0"/>
              <w:spacing w:before="120"/>
              <w:rPr>
                <w:rFonts w:ascii="Arial" w:hAnsi="Arial" w:cs="Arial"/>
                <w:sz w:val="20"/>
                <w:szCs w:val="20"/>
              </w:rPr>
            </w:pPr>
            <w:r w:rsidRPr="00075C0A">
              <w:rPr>
                <w:rFonts w:ascii="Arial" w:hAnsi="Arial" w:cs="Arial"/>
                <w:sz w:val="20"/>
                <w:szCs w:val="20"/>
              </w:rPr>
              <w:t>Teller - an employee that conducts cash transactions with third parties on behalf of the financial institution (i.e., from a casino perspective this would include a cage operator, floor manager, pit bosses, etc.).</w:t>
            </w:r>
          </w:p>
          <w:p w:rsidR="00611782" w:rsidRPr="00075C0A" w:rsidRDefault="00611782" w:rsidP="00611782">
            <w:pPr>
              <w:pStyle w:val="ListParagraph"/>
              <w:overflowPunct w:val="0"/>
              <w:ind w:left="500" w:right="249"/>
              <w:rPr>
                <w:rFonts w:ascii="Arial" w:hAnsi="Arial" w:cs="Arial"/>
                <w:sz w:val="20"/>
                <w:szCs w:val="20"/>
              </w:rPr>
            </w:pPr>
          </w:p>
          <w:p w:rsidR="00611782" w:rsidRPr="00075C0A" w:rsidRDefault="00611782" w:rsidP="00611782">
            <w:pPr>
              <w:pStyle w:val="ListParagraph"/>
              <w:overflowPunct w:val="0"/>
              <w:ind w:left="0" w:right="249"/>
              <w:rPr>
                <w:rFonts w:ascii="Arial" w:hAnsi="Arial" w:cs="Arial"/>
                <w:sz w:val="20"/>
                <w:szCs w:val="20"/>
              </w:rPr>
            </w:pPr>
            <w:r w:rsidRPr="00075C0A">
              <w:rPr>
                <w:rFonts w:ascii="Arial" w:hAnsi="Arial" w:cs="Arial"/>
                <w:sz w:val="20"/>
                <w:szCs w:val="20"/>
              </w:rPr>
              <w:t xml:space="preserve">Branch - a transaction location (such as an office or ATM) owned by the financial </w:t>
            </w:r>
            <w:r w:rsidRPr="00075C0A">
              <w:rPr>
                <w:rFonts w:ascii="Arial" w:hAnsi="Arial" w:cs="Arial"/>
                <w:sz w:val="20"/>
                <w:szCs w:val="20"/>
              </w:rPr>
              <w:lastRenderedPageBreak/>
              <w:t>institution but located separately from the financial institution’s headquarters.</w:t>
            </w:r>
          </w:p>
          <w:p w:rsidR="006912FA" w:rsidRPr="00075C0A" w:rsidRDefault="006912FA" w:rsidP="006912FA">
            <w:pPr>
              <w:rPr>
                <w:rFonts w:ascii="Arial" w:hAnsi="Arial" w:cs="Arial"/>
                <w:sz w:val="20"/>
                <w:szCs w:val="20"/>
              </w:rPr>
            </w:pPr>
          </w:p>
        </w:tc>
      </w:tr>
      <w:tr w:rsidR="00611782" w:rsidRPr="00CB630A" w:rsidTr="0080583E">
        <w:tc>
          <w:tcPr>
            <w:tcW w:w="780" w:type="dxa"/>
          </w:tcPr>
          <w:p w:rsidR="00611782" w:rsidRPr="0080583E" w:rsidRDefault="00611782" w:rsidP="00611782">
            <w:pPr>
              <w:pStyle w:val="ListParagraph"/>
              <w:numPr>
                <w:ilvl w:val="0"/>
                <w:numId w:val="44"/>
              </w:numPr>
              <w:jc w:val="both"/>
              <w:rPr>
                <w:rFonts w:ascii="Arial" w:hAnsi="Arial" w:cs="Arial"/>
                <w:sz w:val="20"/>
                <w:szCs w:val="20"/>
              </w:rPr>
            </w:pPr>
          </w:p>
        </w:tc>
        <w:tc>
          <w:tcPr>
            <w:tcW w:w="4030" w:type="dxa"/>
            <w:tcMar>
              <w:left w:w="86" w:type="dxa"/>
              <w:right w:w="86" w:type="dxa"/>
            </w:tcMar>
          </w:tcPr>
          <w:p w:rsidR="00611782" w:rsidRDefault="00611782" w:rsidP="00611782">
            <w:pPr>
              <w:autoSpaceDE w:val="0"/>
              <w:autoSpaceDN w:val="0"/>
              <w:adjustRightInd w:val="0"/>
              <w:rPr>
                <w:rFonts w:ascii="Arial" w:hAnsi="Arial" w:cs="Arial"/>
                <w:sz w:val="20"/>
                <w:szCs w:val="20"/>
              </w:rPr>
            </w:pPr>
            <w:r>
              <w:rPr>
                <w:rFonts w:ascii="Arial" w:hAnsi="Arial" w:cs="Arial"/>
                <w:sz w:val="20"/>
                <w:szCs w:val="20"/>
              </w:rPr>
              <w:t>Definition</w:t>
            </w:r>
          </w:p>
          <w:p w:rsidR="00611782" w:rsidRDefault="00611782" w:rsidP="00611782">
            <w:pPr>
              <w:autoSpaceDE w:val="0"/>
              <w:autoSpaceDN w:val="0"/>
              <w:adjustRightInd w:val="0"/>
              <w:rPr>
                <w:rFonts w:ascii="Arial" w:hAnsi="Arial" w:cs="Arial"/>
                <w:sz w:val="20"/>
                <w:szCs w:val="20"/>
              </w:rPr>
            </w:pPr>
            <w:r>
              <w:rPr>
                <w:rFonts w:ascii="Arial" w:hAnsi="Arial" w:cs="Arial"/>
                <w:sz w:val="20"/>
                <w:szCs w:val="20"/>
              </w:rPr>
              <w:t xml:space="preserve"> </w:t>
            </w:r>
          </w:p>
          <w:p w:rsidR="00611782" w:rsidRPr="00CB630A" w:rsidRDefault="00611782" w:rsidP="00611782">
            <w:pPr>
              <w:autoSpaceDE w:val="0"/>
              <w:autoSpaceDN w:val="0"/>
              <w:adjustRightInd w:val="0"/>
              <w:rPr>
                <w:rFonts w:ascii="Arial" w:hAnsi="Arial" w:cs="Arial"/>
                <w:sz w:val="20"/>
                <w:szCs w:val="20"/>
              </w:rPr>
            </w:pPr>
            <w:r>
              <w:rPr>
                <w:rFonts w:ascii="Arial" w:hAnsi="Arial" w:cs="Arial"/>
                <w:sz w:val="20"/>
                <w:szCs w:val="20"/>
              </w:rPr>
              <w:t>(</w:t>
            </w:r>
            <w:r w:rsidRPr="00CB630A">
              <w:rPr>
                <w:rFonts w:ascii="Arial" w:hAnsi="Arial" w:cs="Arial"/>
                <w:sz w:val="20"/>
                <w:szCs w:val="20"/>
              </w:rPr>
              <w:t>8</w:t>
            </w:r>
            <w:r>
              <w:rPr>
                <w:rFonts w:ascii="Arial" w:hAnsi="Arial" w:cs="Arial"/>
                <w:sz w:val="20"/>
                <w:szCs w:val="20"/>
              </w:rPr>
              <w:t>)</w:t>
            </w:r>
            <w:r w:rsidRPr="00CB630A">
              <w:rPr>
                <w:rFonts w:ascii="Arial" w:hAnsi="Arial" w:cs="Arial"/>
                <w:sz w:val="20"/>
                <w:szCs w:val="20"/>
              </w:rPr>
              <w:t xml:space="preserve"> - FinCEN’s proposed re-definition of the term “teller” may significantly expand BCTR filing requirements beyond their current scope. Under the proposed re-definition, a bank’s “teller” may capture an armored car service that the bank contracts with to transport cash. If FinCEN wants to consider altering its approach to these activities, it should initiate a rulemaking, with opportunity for notice and comment, and not make these changes through a PRA request.</w:t>
            </w:r>
          </w:p>
        </w:tc>
        <w:tc>
          <w:tcPr>
            <w:tcW w:w="1062" w:type="dxa"/>
            <w:tcMar>
              <w:left w:w="86" w:type="dxa"/>
              <w:right w:w="86" w:type="dxa"/>
            </w:tcMar>
          </w:tcPr>
          <w:p w:rsidR="00611782" w:rsidRPr="00CB630A" w:rsidRDefault="00611782" w:rsidP="00611782">
            <w:pPr>
              <w:rPr>
                <w:rFonts w:ascii="Arial" w:hAnsi="Arial" w:cs="Arial"/>
                <w:sz w:val="20"/>
                <w:szCs w:val="20"/>
              </w:rPr>
            </w:pPr>
            <w:r>
              <w:rPr>
                <w:rFonts w:ascii="Arial" w:hAnsi="Arial" w:cs="Arial"/>
                <w:sz w:val="20"/>
                <w:szCs w:val="20"/>
              </w:rPr>
              <w:t>4/2016</w:t>
            </w:r>
          </w:p>
        </w:tc>
        <w:tc>
          <w:tcPr>
            <w:tcW w:w="4236" w:type="dxa"/>
            <w:tcMar>
              <w:left w:w="86" w:type="dxa"/>
              <w:right w:w="86" w:type="dxa"/>
            </w:tcMar>
          </w:tcPr>
          <w:p w:rsidR="00611782" w:rsidRDefault="00611782" w:rsidP="00611782">
            <w:pPr>
              <w:autoSpaceDE w:val="0"/>
              <w:autoSpaceDN w:val="0"/>
              <w:adjustRightInd w:val="0"/>
              <w:rPr>
                <w:rFonts w:ascii="Arial" w:hAnsi="Arial" w:cs="Arial"/>
                <w:sz w:val="20"/>
                <w:szCs w:val="20"/>
              </w:rPr>
            </w:pPr>
            <w:r>
              <w:rPr>
                <w:rFonts w:ascii="Arial" w:hAnsi="Arial" w:cs="Arial"/>
                <w:sz w:val="20"/>
                <w:szCs w:val="20"/>
              </w:rPr>
              <w:t>Recommendation Amended</w:t>
            </w:r>
          </w:p>
          <w:p w:rsidR="00611782" w:rsidRDefault="00611782" w:rsidP="00611782">
            <w:pPr>
              <w:autoSpaceDE w:val="0"/>
              <w:autoSpaceDN w:val="0"/>
              <w:adjustRightInd w:val="0"/>
              <w:rPr>
                <w:rFonts w:ascii="Arial" w:hAnsi="Arial" w:cs="Arial"/>
                <w:sz w:val="20"/>
                <w:szCs w:val="20"/>
              </w:rPr>
            </w:pPr>
          </w:p>
          <w:p w:rsidR="00611782" w:rsidRDefault="00611782" w:rsidP="00611782">
            <w:pPr>
              <w:autoSpaceDE w:val="0"/>
              <w:autoSpaceDN w:val="0"/>
              <w:adjustRightInd w:val="0"/>
              <w:rPr>
                <w:rFonts w:ascii="Arial" w:hAnsi="Arial" w:cs="Arial"/>
                <w:sz w:val="20"/>
                <w:szCs w:val="20"/>
              </w:rPr>
            </w:pPr>
            <w:r>
              <w:rPr>
                <w:rFonts w:ascii="Arial" w:hAnsi="Arial" w:cs="Arial"/>
                <w:sz w:val="20"/>
                <w:szCs w:val="20"/>
              </w:rPr>
              <w:t xml:space="preserve">The definition of a teller was designed to be expanded to include those employees from a casino perspective that either receive or distribute currency to anyone that is not an employee. This does not include armored car services. </w:t>
            </w:r>
          </w:p>
          <w:p w:rsidR="00611782" w:rsidRPr="00CB630A" w:rsidRDefault="00611782" w:rsidP="00611782">
            <w:pPr>
              <w:autoSpaceDE w:val="0"/>
              <w:autoSpaceDN w:val="0"/>
              <w:adjustRightInd w:val="0"/>
              <w:rPr>
                <w:rFonts w:ascii="Arial" w:hAnsi="Arial" w:cs="Arial"/>
                <w:sz w:val="20"/>
                <w:szCs w:val="20"/>
              </w:rPr>
            </w:pPr>
          </w:p>
        </w:tc>
        <w:tc>
          <w:tcPr>
            <w:tcW w:w="4292" w:type="dxa"/>
            <w:tcMar>
              <w:left w:w="86" w:type="dxa"/>
              <w:right w:w="86" w:type="dxa"/>
            </w:tcMar>
          </w:tcPr>
          <w:p w:rsidR="00611782" w:rsidRPr="00075C0A" w:rsidRDefault="00611782" w:rsidP="00611782">
            <w:pPr>
              <w:rPr>
                <w:rFonts w:ascii="Arial" w:hAnsi="Arial" w:cs="Arial"/>
                <w:sz w:val="20"/>
                <w:szCs w:val="20"/>
              </w:rPr>
            </w:pPr>
            <w:r w:rsidRPr="00075C0A">
              <w:rPr>
                <w:rFonts w:ascii="Arial" w:hAnsi="Arial" w:cs="Arial"/>
                <w:sz w:val="20"/>
                <w:szCs w:val="20"/>
              </w:rPr>
              <w:t>Instructions will be clarified to provide clarification of the definition of a teller and of a branch. Potentially as follows:</w:t>
            </w:r>
          </w:p>
          <w:p w:rsidR="00611782" w:rsidRPr="00075C0A" w:rsidRDefault="00611782" w:rsidP="00611782">
            <w:pPr>
              <w:rPr>
                <w:rFonts w:ascii="Arial" w:hAnsi="Arial" w:cs="Arial"/>
                <w:sz w:val="20"/>
                <w:szCs w:val="20"/>
              </w:rPr>
            </w:pPr>
          </w:p>
          <w:p w:rsidR="00611782" w:rsidRPr="00075C0A" w:rsidRDefault="00611782" w:rsidP="00611782">
            <w:pPr>
              <w:overflowPunct w:val="0"/>
              <w:autoSpaceDE w:val="0"/>
              <w:autoSpaceDN w:val="0"/>
              <w:spacing w:before="120"/>
              <w:rPr>
                <w:rFonts w:ascii="Arial" w:hAnsi="Arial" w:cs="Arial"/>
                <w:sz w:val="20"/>
                <w:szCs w:val="20"/>
              </w:rPr>
            </w:pPr>
            <w:r w:rsidRPr="00075C0A">
              <w:rPr>
                <w:rFonts w:ascii="Arial" w:hAnsi="Arial" w:cs="Arial"/>
                <w:sz w:val="20"/>
                <w:szCs w:val="20"/>
              </w:rPr>
              <w:t>Teller - an employee that conducts cash transactions with third parties on behalf of the financial institution (i.e., from a casino perspective this would include a cage operator, floor manager, pit bosses, etc.).</w:t>
            </w:r>
          </w:p>
          <w:p w:rsidR="00611782" w:rsidRPr="00075C0A" w:rsidRDefault="00611782" w:rsidP="00611782">
            <w:pPr>
              <w:pStyle w:val="ListParagraph"/>
              <w:overflowPunct w:val="0"/>
              <w:ind w:left="500" w:right="249"/>
              <w:rPr>
                <w:rFonts w:ascii="Arial" w:hAnsi="Arial" w:cs="Arial"/>
                <w:sz w:val="20"/>
                <w:szCs w:val="20"/>
              </w:rPr>
            </w:pPr>
          </w:p>
          <w:p w:rsidR="00611782" w:rsidRPr="00075C0A" w:rsidRDefault="00611782" w:rsidP="00611782">
            <w:pPr>
              <w:pStyle w:val="ListParagraph"/>
              <w:overflowPunct w:val="0"/>
              <w:ind w:left="0" w:right="249"/>
              <w:rPr>
                <w:rFonts w:ascii="Arial" w:hAnsi="Arial" w:cs="Arial"/>
                <w:sz w:val="20"/>
                <w:szCs w:val="20"/>
              </w:rPr>
            </w:pPr>
            <w:r w:rsidRPr="00075C0A">
              <w:rPr>
                <w:rFonts w:ascii="Arial" w:hAnsi="Arial" w:cs="Arial"/>
                <w:sz w:val="20"/>
                <w:szCs w:val="20"/>
              </w:rPr>
              <w:t>Branch - a transaction location (such as an office or ATM) owned by the financial institution but located separately from the financial institution’s headquarters.</w:t>
            </w:r>
          </w:p>
          <w:p w:rsidR="00611782" w:rsidRPr="00075C0A" w:rsidRDefault="00611782" w:rsidP="00611782">
            <w:pPr>
              <w:rPr>
                <w:rFonts w:ascii="Arial" w:hAnsi="Arial" w:cs="Arial"/>
                <w:sz w:val="20"/>
                <w:szCs w:val="20"/>
              </w:rPr>
            </w:pPr>
          </w:p>
        </w:tc>
      </w:tr>
      <w:tr w:rsidR="00611782" w:rsidRPr="00CB630A" w:rsidTr="0080583E">
        <w:tc>
          <w:tcPr>
            <w:tcW w:w="780" w:type="dxa"/>
          </w:tcPr>
          <w:p w:rsidR="00611782" w:rsidRPr="0080583E" w:rsidRDefault="00611782" w:rsidP="00611782">
            <w:pPr>
              <w:pStyle w:val="ListParagraph"/>
              <w:numPr>
                <w:ilvl w:val="0"/>
                <w:numId w:val="44"/>
              </w:numPr>
              <w:jc w:val="both"/>
              <w:rPr>
                <w:rFonts w:ascii="Arial" w:hAnsi="Arial" w:cs="Arial"/>
                <w:sz w:val="20"/>
                <w:szCs w:val="20"/>
              </w:rPr>
            </w:pPr>
          </w:p>
        </w:tc>
        <w:tc>
          <w:tcPr>
            <w:tcW w:w="4030" w:type="dxa"/>
            <w:tcMar>
              <w:left w:w="86" w:type="dxa"/>
              <w:right w:w="86" w:type="dxa"/>
            </w:tcMar>
          </w:tcPr>
          <w:p w:rsidR="00611782" w:rsidRDefault="00611782" w:rsidP="00611782">
            <w:pPr>
              <w:autoSpaceDE w:val="0"/>
              <w:autoSpaceDN w:val="0"/>
              <w:adjustRightInd w:val="0"/>
              <w:rPr>
                <w:rFonts w:ascii="Arial" w:hAnsi="Arial" w:cs="Arial"/>
                <w:sz w:val="20"/>
                <w:szCs w:val="20"/>
              </w:rPr>
            </w:pPr>
            <w:r>
              <w:rPr>
                <w:rFonts w:ascii="Arial" w:hAnsi="Arial" w:cs="Arial"/>
                <w:sz w:val="20"/>
                <w:szCs w:val="20"/>
              </w:rPr>
              <w:t>Definition</w:t>
            </w:r>
          </w:p>
          <w:p w:rsidR="00611782" w:rsidRDefault="00611782" w:rsidP="00611782">
            <w:pPr>
              <w:autoSpaceDE w:val="0"/>
              <w:autoSpaceDN w:val="0"/>
              <w:adjustRightInd w:val="0"/>
              <w:rPr>
                <w:rFonts w:ascii="Arial" w:hAnsi="Arial" w:cs="Arial"/>
                <w:sz w:val="20"/>
                <w:szCs w:val="20"/>
              </w:rPr>
            </w:pPr>
          </w:p>
          <w:p w:rsidR="00611782" w:rsidRPr="00CB630A" w:rsidRDefault="00611782" w:rsidP="00611782">
            <w:pPr>
              <w:autoSpaceDE w:val="0"/>
              <w:autoSpaceDN w:val="0"/>
              <w:adjustRightInd w:val="0"/>
              <w:rPr>
                <w:rFonts w:ascii="Arial" w:hAnsi="Arial" w:cs="Arial"/>
                <w:sz w:val="20"/>
                <w:szCs w:val="20"/>
              </w:rPr>
            </w:pPr>
            <w:r>
              <w:rPr>
                <w:rFonts w:ascii="Arial" w:hAnsi="Arial" w:cs="Arial"/>
                <w:sz w:val="20"/>
                <w:szCs w:val="20"/>
              </w:rPr>
              <w:t>(</w:t>
            </w:r>
            <w:r w:rsidRPr="00CB630A">
              <w:rPr>
                <w:rFonts w:ascii="Arial" w:hAnsi="Arial" w:cs="Arial"/>
                <w:sz w:val="20"/>
                <w:szCs w:val="20"/>
              </w:rPr>
              <w:t>8</w:t>
            </w:r>
            <w:r>
              <w:rPr>
                <w:rFonts w:ascii="Arial" w:hAnsi="Arial" w:cs="Arial"/>
                <w:sz w:val="20"/>
                <w:szCs w:val="20"/>
              </w:rPr>
              <w:t>)</w:t>
            </w:r>
            <w:r w:rsidRPr="00CB630A">
              <w:rPr>
                <w:rFonts w:ascii="Arial" w:hAnsi="Arial" w:cs="Arial"/>
                <w:sz w:val="20"/>
                <w:szCs w:val="20"/>
              </w:rPr>
              <w:t xml:space="preserve"> - The changes to the terms “courier service” and “teller” have potentially significant ramifications, could greatly increase regulatory burden, and should not be addressed through a PRA notice. Rather, they should be conducted using a full notice and rulemaking in accordance with the Administrative Procedure Act (APA).5</w:t>
            </w:r>
          </w:p>
        </w:tc>
        <w:tc>
          <w:tcPr>
            <w:tcW w:w="1062" w:type="dxa"/>
            <w:tcMar>
              <w:left w:w="86" w:type="dxa"/>
              <w:right w:w="86" w:type="dxa"/>
            </w:tcMar>
          </w:tcPr>
          <w:p w:rsidR="00611782" w:rsidRPr="00CB630A" w:rsidRDefault="00611782" w:rsidP="00611782">
            <w:pPr>
              <w:rPr>
                <w:rFonts w:ascii="Arial" w:hAnsi="Arial" w:cs="Arial"/>
                <w:sz w:val="20"/>
                <w:szCs w:val="20"/>
              </w:rPr>
            </w:pPr>
            <w:r>
              <w:rPr>
                <w:rFonts w:ascii="Arial" w:hAnsi="Arial" w:cs="Arial"/>
                <w:sz w:val="20"/>
                <w:szCs w:val="20"/>
              </w:rPr>
              <w:t>4/2016</w:t>
            </w:r>
          </w:p>
        </w:tc>
        <w:tc>
          <w:tcPr>
            <w:tcW w:w="4236" w:type="dxa"/>
            <w:tcMar>
              <w:left w:w="86" w:type="dxa"/>
              <w:right w:w="86" w:type="dxa"/>
            </w:tcMar>
          </w:tcPr>
          <w:p w:rsidR="00611782" w:rsidRDefault="00611782" w:rsidP="00611782">
            <w:pPr>
              <w:autoSpaceDE w:val="0"/>
              <w:autoSpaceDN w:val="0"/>
              <w:adjustRightInd w:val="0"/>
              <w:rPr>
                <w:rFonts w:ascii="Arial" w:hAnsi="Arial" w:cs="Arial"/>
                <w:sz w:val="20"/>
                <w:szCs w:val="20"/>
              </w:rPr>
            </w:pPr>
            <w:r>
              <w:rPr>
                <w:rFonts w:ascii="Arial" w:hAnsi="Arial" w:cs="Arial"/>
                <w:sz w:val="20"/>
                <w:szCs w:val="20"/>
              </w:rPr>
              <w:t>Recommendation Declined</w:t>
            </w:r>
          </w:p>
          <w:p w:rsidR="00611782" w:rsidRDefault="00611782" w:rsidP="00611782">
            <w:pPr>
              <w:autoSpaceDE w:val="0"/>
              <w:autoSpaceDN w:val="0"/>
              <w:adjustRightInd w:val="0"/>
              <w:rPr>
                <w:rFonts w:ascii="Arial" w:hAnsi="Arial" w:cs="Arial"/>
                <w:sz w:val="20"/>
                <w:szCs w:val="20"/>
              </w:rPr>
            </w:pPr>
          </w:p>
          <w:p w:rsidR="00611782" w:rsidRPr="00CB630A" w:rsidRDefault="00611782" w:rsidP="00611782">
            <w:pPr>
              <w:autoSpaceDE w:val="0"/>
              <w:autoSpaceDN w:val="0"/>
              <w:adjustRightInd w:val="0"/>
              <w:rPr>
                <w:rFonts w:ascii="Arial" w:hAnsi="Arial" w:cs="Arial"/>
                <w:sz w:val="20"/>
                <w:szCs w:val="20"/>
              </w:rPr>
            </w:pPr>
            <w:r>
              <w:rPr>
                <w:rFonts w:ascii="Arial" w:hAnsi="Arial" w:cs="Arial"/>
                <w:sz w:val="20"/>
                <w:szCs w:val="20"/>
              </w:rPr>
              <w:t xml:space="preserve">Changes to the definition of teller or label changes of courier service do not significantly affect regulatory burden. </w:t>
            </w:r>
          </w:p>
        </w:tc>
        <w:tc>
          <w:tcPr>
            <w:tcW w:w="4292" w:type="dxa"/>
            <w:tcMar>
              <w:left w:w="86" w:type="dxa"/>
              <w:right w:w="86" w:type="dxa"/>
            </w:tcMar>
          </w:tcPr>
          <w:p w:rsidR="00611782" w:rsidRPr="00CB630A" w:rsidRDefault="00611782" w:rsidP="00611782">
            <w:pPr>
              <w:rPr>
                <w:rFonts w:ascii="Arial" w:hAnsi="Arial" w:cs="Arial"/>
                <w:sz w:val="20"/>
                <w:szCs w:val="20"/>
                <w:highlight w:val="yellow"/>
              </w:rPr>
            </w:pPr>
          </w:p>
        </w:tc>
      </w:tr>
      <w:tr w:rsidR="00611782" w:rsidRPr="00CB630A" w:rsidTr="0080583E">
        <w:tc>
          <w:tcPr>
            <w:tcW w:w="780" w:type="dxa"/>
          </w:tcPr>
          <w:p w:rsidR="00611782" w:rsidRPr="0080583E" w:rsidRDefault="00611782" w:rsidP="00611782">
            <w:pPr>
              <w:pStyle w:val="ListParagraph"/>
              <w:numPr>
                <w:ilvl w:val="0"/>
                <w:numId w:val="44"/>
              </w:numPr>
              <w:jc w:val="both"/>
              <w:rPr>
                <w:rFonts w:ascii="Arial" w:hAnsi="Arial" w:cs="Arial"/>
                <w:sz w:val="20"/>
                <w:szCs w:val="20"/>
              </w:rPr>
            </w:pPr>
          </w:p>
        </w:tc>
        <w:tc>
          <w:tcPr>
            <w:tcW w:w="4030" w:type="dxa"/>
            <w:tcMar>
              <w:left w:w="86" w:type="dxa"/>
              <w:right w:w="86" w:type="dxa"/>
            </w:tcMar>
          </w:tcPr>
          <w:p w:rsidR="00611782" w:rsidRDefault="00611782" w:rsidP="00611782">
            <w:pPr>
              <w:autoSpaceDE w:val="0"/>
              <w:autoSpaceDN w:val="0"/>
              <w:adjustRightInd w:val="0"/>
              <w:rPr>
                <w:rFonts w:ascii="Arial" w:hAnsi="Arial" w:cs="Arial"/>
                <w:sz w:val="20"/>
                <w:szCs w:val="20"/>
              </w:rPr>
            </w:pPr>
            <w:r>
              <w:rPr>
                <w:rFonts w:ascii="Arial" w:hAnsi="Arial" w:cs="Arial"/>
                <w:sz w:val="20"/>
                <w:szCs w:val="20"/>
              </w:rPr>
              <w:t>Definition</w:t>
            </w:r>
          </w:p>
          <w:p w:rsidR="00611782" w:rsidRDefault="00611782" w:rsidP="00611782">
            <w:pPr>
              <w:autoSpaceDE w:val="0"/>
              <w:autoSpaceDN w:val="0"/>
              <w:adjustRightInd w:val="0"/>
              <w:rPr>
                <w:rFonts w:ascii="Arial" w:hAnsi="Arial" w:cs="Arial"/>
                <w:sz w:val="20"/>
                <w:szCs w:val="20"/>
              </w:rPr>
            </w:pPr>
          </w:p>
          <w:p w:rsidR="00611782" w:rsidRDefault="00611782" w:rsidP="00611782">
            <w:pPr>
              <w:autoSpaceDE w:val="0"/>
              <w:autoSpaceDN w:val="0"/>
              <w:adjustRightInd w:val="0"/>
              <w:rPr>
                <w:rFonts w:ascii="Arial" w:hAnsi="Arial" w:cs="Arial"/>
                <w:sz w:val="20"/>
                <w:szCs w:val="20"/>
              </w:rPr>
            </w:pPr>
            <w:r>
              <w:rPr>
                <w:rFonts w:ascii="Arial" w:hAnsi="Arial" w:cs="Arial"/>
                <w:sz w:val="20"/>
                <w:szCs w:val="20"/>
              </w:rPr>
              <w:t>(</w:t>
            </w:r>
            <w:r w:rsidRPr="00CB630A">
              <w:rPr>
                <w:rFonts w:ascii="Arial" w:hAnsi="Arial" w:cs="Arial"/>
                <w:sz w:val="20"/>
                <w:szCs w:val="20"/>
              </w:rPr>
              <w:t>5</w:t>
            </w:r>
            <w:r>
              <w:rPr>
                <w:rFonts w:ascii="Arial" w:hAnsi="Arial" w:cs="Arial"/>
                <w:sz w:val="20"/>
                <w:szCs w:val="20"/>
              </w:rPr>
              <w:t>)</w:t>
            </w:r>
            <w:r w:rsidRPr="00CB630A">
              <w:rPr>
                <w:rFonts w:ascii="Arial" w:hAnsi="Arial" w:cs="Arial"/>
                <w:sz w:val="20"/>
                <w:szCs w:val="20"/>
              </w:rPr>
              <w:t xml:space="preserve"> - Using FinCEN’s proposed definition of “teller” in concert with its guidance on when financial institutions should check the BCTR’s “aggregated transactions” box could be problematic for institutions, as individuals employed at cash vaults that accept currency in the normal course of </w:t>
            </w:r>
            <w:r w:rsidRPr="00CB630A">
              <w:rPr>
                <w:rFonts w:ascii="Arial" w:hAnsi="Arial" w:cs="Arial"/>
                <w:sz w:val="20"/>
                <w:szCs w:val="20"/>
              </w:rPr>
              <w:lastRenderedPageBreak/>
              <w:t>business are currently not considered tellers, and, therefore, their activity would not be considered in determining whether to check the BCTR’s “aggregated transactions” box.</w:t>
            </w:r>
          </w:p>
          <w:p w:rsidR="00611782" w:rsidRPr="00CB630A" w:rsidRDefault="00611782" w:rsidP="00611782">
            <w:pPr>
              <w:autoSpaceDE w:val="0"/>
              <w:autoSpaceDN w:val="0"/>
              <w:adjustRightInd w:val="0"/>
              <w:rPr>
                <w:rFonts w:ascii="Arial" w:hAnsi="Arial" w:cs="Arial"/>
                <w:sz w:val="20"/>
                <w:szCs w:val="20"/>
              </w:rPr>
            </w:pPr>
          </w:p>
        </w:tc>
        <w:tc>
          <w:tcPr>
            <w:tcW w:w="1062" w:type="dxa"/>
            <w:tcMar>
              <w:left w:w="86" w:type="dxa"/>
              <w:right w:w="86" w:type="dxa"/>
            </w:tcMar>
          </w:tcPr>
          <w:p w:rsidR="00611782" w:rsidRPr="00CB630A" w:rsidRDefault="00611782" w:rsidP="00611782">
            <w:pPr>
              <w:rPr>
                <w:rFonts w:ascii="Arial" w:hAnsi="Arial" w:cs="Arial"/>
                <w:sz w:val="20"/>
                <w:szCs w:val="20"/>
              </w:rPr>
            </w:pPr>
            <w:r>
              <w:rPr>
                <w:rFonts w:ascii="Arial" w:hAnsi="Arial" w:cs="Arial"/>
                <w:sz w:val="20"/>
                <w:szCs w:val="20"/>
              </w:rPr>
              <w:lastRenderedPageBreak/>
              <w:t>4/2016</w:t>
            </w:r>
          </w:p>
        </w:tc>
        <w:tc>
          <w:tcPr>
            <w:tcW w:w="4236" w:type="dxa"/>
            <w:tcMar>
              <w:left w:w="86" w:type="dxa"/>
              <w:right w:w="86" w:type="dxa"/>
            </w:tcMar>
          </w:tcPr>
          <w:p w:rsidR="00611782" w:rsidRDefault="00611782" w:rsidP="00611782">
            <w:pPr>
              <w:autoSpaceDE w:val="0"/>
              <w:autoSpaceDN w:val="0"/>
              <w:adjustRightInd w:val="0"/>
              <w:rPr>
                <w:rFonts w:ascii="Arial" w:hAnsi="Arial" w:cs="Arial"/>
                <w:sz w:val="20"/>
                <w:szCs w:val="20"/>
              </w:rPr>
            </w:pPr>
            <w:r>
              <w:rPr>
                <w:rFonts w:ascii="Arial" w:hAnsi="Arial" w:cs="Arial"/>
                <w:sz w:val="20"/>
                <w:szCs w:val="20"/>
              </w:rPr>
              <w:t>Recommendation Amended</w:t>
            </w:r>
          </w:p>
          <w:p w:rsidR="00611782" w:rsidRDefault="00611782" w:rsidP="00611782">
            <w:pPr>
              <w:autoSpaceDE w:val="0"/>
              <w:autoSpaceDN w:val="0"/>
              <w:adjustRightInd w:val="0"/>
              <w:rPr>
                <w:rFonts w:ascii="Arial" w:hAnsi="Arial" w:cs="Arial"/>
                <w:sz w:val="20"/>
                <w:szCs w:val="20"/>
              </w:rPr>
            </w:pPr>
          </w:p>
          <w:p w:rsidR="00611782" w:rsidRDefault="00611782" w:rsidP="00611782">
            <w:pPr>
              <w:autoSpaceDE w:val="0"/>
              <w:autoSpaceDN w:val="0"/>
              <w:adjustRightInd w:val="0"/>
              <w:rPr>
                <w:rFonts w:ascii="Arial" w:hAnsi="Arial" w:cs="Arial"/>
                <w:sz w:val="20"/>
                <w:szCs w:val="20"/>
              </w:rPr>
            </w:pPr>
            <w:r>
              <w:rPr>
                <w:rFonts w:ascii="Arial" w:hAnsi="Arial" w:cs="Arial"/>
                <w:sz w:val="20"/>
                <w:szCs w:val="20"/>
              </w:rPr>
              <w:t xml:space="preserve">The definition of a teller was designed to be expanded to include those employees from a casino perspective that either receive or distribute currency to anyone that is not an employee. This does not include armored car services. </w:t>
            </w:r>
          </w:p>
          <w:p w:rsidR="00611782" w:rsidRPr="00CB630A" w:rsidRDefault="00611782" w:rsidP="00611782">
            <w:pPr>
              <w:autoSpaceDE w:val="0"/>
              <w:autoSpaceDN w:val="0"/>
              <w:adjustRightInd w:val="0"/>
              <w:rPr>
                <w:rFonts w:ascii="Arial" w:hAnsi="Arial" w:cs="Arial"/>
                <w:sz w:val="20"/>
                <w:szCs w:val="20"/>
              </w:rPr>
            </w:pPr>
          </w:p>
        </w:tc>
        <w:tc>
          <w:tcPr>
            <w:tcW w:w="4292" w:type="dxa"/>
            <w:tcMar>
              <w:left w:w="86" w:type="dxa"/>
              <w:right w:w="86" w:type="dxa"/>
            </w:tcMar>
          </w:tcPr>
          <w:p w:rsidR="00611782" w:rsidRPr="00075C0A" w:rsidRDefault="00611782" w:rsidP="00611782">
            <w:pPr>
              <w:rPr>
                <w:rFonts w:ascii="Arial" w:hAnsi="Arial" w:cs="Arial"/>
                <w:sz w:val="20"/>
                <w:szCs w:val="20"/>
              </w:rPr>
            </w:pPr>
            <w:r w:rsidRPr="00075C0A">
              <w:rPr>
                <w:rFonts w:ascii="Arial" w:hAnsi="Arial" w:cs="Arial"/>
                <w:sz w:val="20"/>
                <w:szCs w:val="20"/>
              </w:rPr>
              <w:t>Instructions will be clarified to provide clarification of the definition of a teller and of a branch. Potentially as follows:</w:t>
            </w:r>
          </w:p>
          <w:p w:rsidR="00611782" w:rsidRPr="00075C0A" w:rsidRDefault="00611782" w:rsidP="00611782">
            <w:pPr>
              <w:rPr>
                <w:rFonts w:ascii="Arial" w:hAnsi="Arial" w:cs="Arial"/>
                <w:sz w:val="20"/>
                <w:szCs w:val="20"/>
              </w:rPr>
            </w:pPr>
          </w:p>
          <w:p w:rsidR="00611782" w:rsidRPr="00075C0A" w:rsidRDefault="00611782" w:rsidP="00611782">
            <w:pPr>
              <w:overflowPunct w:val="0"/>
              <w:autoSpaceDE w:val="0"/>
              <w:autoSpaceDN w:val="0"/>
              <w:spacing w:before="120"/>
              <w:rPr>
                <w:rFonts w:ascii="Arial" w:hAnsi="Arial" w:cs="Arial"/>
                <w:sz w:val="20"/>
                <w:szCs w:val="20"/>
              </w:rPr>
            </w:pPr>
            <w:r w:rsidRPr="00075C0A">
              <w:rPr>
                <w:rFonts w:ascii="Arial" w:hAnsi="Arial" w:cs="Arial"/>
                <w:sz w:val="20"/>
                <w:szCs w:val="20"/>
              </w:rPr>
              <w:t xml:space="preserve">Teller - an employee that conducts cash transactions with third parties on behalf of the financial institution (i.e., from a casino </w:t>
            </w:r>
            <w:r w:rsidRPr="00075C0A">
              <w:rPr>
                <w:rFonts w:ascii="Arial" w:hAnsi="Arial" w:cs="Arial"/>
                <w:sz w:val="20"/>
                <w:szCs w:val="20"/>
              </w:rPr>
              <w:lastRenderedPageBreak/>
              <w:t>perspective this would include a cage operator, floor manager, pit bosses, etc.).</w:t>
            </w:r>
          </w:p>
          <w:p w:rsidR="00611782" w:rsidRPr="00075C0A" w:rsidRDefault="00611782" w:rsidP="00611782">
            <w:pPr>
              <w:pStyle w:val="ListParagraph"/>
              <w:overflowPunct w:val="0"/>
              <w:ind w:left="500" w:right="249"/>
              <w:rPr>
                <w:rFonts w:ascii="Arial" w:hAnsi="Arial" w:cs="Arial"/>
                <w:sz w:val="20"/>
                <w:szCs w:val="20"/>
              </w:rPr>
            </w:pPr>
          </w:p>
          <w:p w:rsidR="00611782" w:rsidRPr="00611782" w:rsidRDefault="00611782" w:rsidP="00611782">
            <w:pPr>
              <w:pStyle w:val="ListParagraph"/>
              <w:overflowPunct w:val="0"/>
              <w:ind w:left="0" w:right="249"/>
              <w:rPr>
                <w:rFonts w:ascii="Arial" w:hAnsi="Arial" w:cs="Arial"/>
                <w:sz w:val="20"/>
                <w:szCs w:val="20"/>
              </w:rPr>
            </w:pPr>
            <w:r w:rsidRPr="00075C0A">
              <w:rPr>
                <w:rFonts w:ascii="Arial" w:hAnsi="Arial" w:cs="Arial"/>
                <w:sz w:val="20"/>
                <w:szCs w:val="20"/>
              </w:rPr>
              <w:t>Branch - a transaction location (such as an office or ATM) owned by the financial institution but located separately from the financial institution’s headquarters.</w:t>
            </w:r>
          </w:p>
          <w:p w:rsidR="00611782" w:rsidRPr="00611782" w:rsidRDefault="00611782" w:rsidP="00611782">
            <w:pPr>
              <w:rPr>
                <w:rFonts w:ascii="Arial" w:hAnsi="Arial" w:cs="Arial"/>
                <w:sz w:val="20"/>
                <w:szCs w:val="20"/>
              </w:rPr>
            </w:pPr>
          </w:p>
        </w:tc>
      </w:tr>
      <w:tr w:rsidR="00611782" w:rsidRPr="00CB630A" w:rsidTr="0080583E">
        <w:tc>
          <w:tcPr>
            <w:tcW w:w="780" w:type="dxa"/>
          </w:tcPr>
          <w:p w:rsidR="00611782" w:rsidRPr="0080583E" w:rsidRDefault="00611782" w:rsidP="00611782">
            <w:pPr>
              <w:pStyle w:val="ListParagraph"/>
              <w:numPr>
                <w:ilvl w:val="0"/>
                <w:numId w:val="44"/>
              </w:numPr>
              <w:jc w:val="both"/>
              <w:rPr>
                <w:rFonts w:ascii="Arial" w:hAnsi="Arial" w:cs="Arial"/>
                <w:sz w:val="20"/>
                <w:szCs w:val="20"/>
              </w:rPr>
            </w:pPr>
          </w:p>
        </w:tc>
        <w:tc>
          <w:tcPr>
            <w:tcW w:w="4030" w:type="dxa"/>
            <w:tcMar>
              <w:left w:w="86" w:type="dxa"/>
              <w:right w:w="86" w:type="dxa"/>
            </w:tcMar>
          </w:tcPr>
          <w:p w:rsidR="00611782" w:rsidRDefault="00611782" w:rsidP="00611782">
            <w:pPr>
              <w:autoSpaceDE w:val="0"/>
              <w:autoSpaceDN w:val="0"/>
              <w:adjustRightInd w:val="0"/>
              <w:rPr>
                <w:rFonts w:ascii="Arial" w:hAnsi="Arial" w:cs="Arial"/>
                <w:sz w:val="20"/>
                <w:szCs w:val="20"/>
              </w:rPr>
            </w:pPr>
            <w:r>
              <w:rPr>
                <w:rFonts w:ascii="Arial" w:hAnsi="Arial" w:cs="Arial"/>
                <w:sz w:val="20"/>
                <w:szCs w:val="20"/>
              </w:rPr>
              <w:t>Definition</w:t>
            </w:r>
          </w:p>
          <w:p w:rsidR="00611782" w:rsidRDefault="00611782" w:rsidP="00611782">
            <w:pPr>
              <w:autoSpaceDE w:val="0"/>
              <w:autoSpaceDN w:val="0"/>
              <w:adjustRightInd w:val="0"/>
              <w:jc w:val="both"/>
              <w:rPr>
                <w:rFonts w:ascii="Arial" w:hAnsi="Arial" w:cs="Arial"/>
                <w:sz w:val="20"/>
                <w:szCs w:val="20"/>
              </w:rPr>
            </w:pPr>
          </w:p>
          <w:p w:rsidR="00611782" w:rsidRPr="00CB630A" w:rsidRDefault="00611782" w:rsidP="00611782">
            <w:pPr>
              <w:autoSpaceDE w:val="0"/>
              <w:autoSpaceDN w:val="0"/>
              <w:adjustRightInd w:val="0"/>
              <w:jc w:val="both"/>
              <w:rPr>
                <w:rFonts w:ascii="Arial" w:hAnsi="Arial" w:cs="Arial"/>
                <w:sz w:val="20"/>
                <w:szCs w:val="20"/>
              </w:rPr>
            </w:pPr>
            <w:r w:rsidRPr="00CB630A">
              <w:rPr>
                <w:rFonts w:ascii="Arial" w:hAnsi="Arial" w:cs="Arial"/>
                <w:sz w:val="20"/>
                <w:szCs w:val="20"/>
              </w:rPr>
              <w:t>8 - concerns transactions conducted at a non-proprietary Automated Teller Machine (ATM). Under current guidelines, there are questions about which entity bears the responsibility for reporting these ATM transactions—the customer’s bank or the entity administering the ATM—and differing interpretations have created confusion.</w:t>
            </w:r>
          </w:p>
        </w:tc>
        <w:tc>
          <w:tcPr>
            <w:tcW w:w="1062" w:type="dxa"/>
            <w:tcMar>
              <w:left w:w="86" w:type="dxa"/>
              <w:right w:w="86" w:type="dxa"/>
            </w:tcMar>
          </w:tcPr>
          <w:p w:rsidR="00611782" w:rsidRPr="00CB630A" w:rsidRDefault="00611782" w:rsidP="00611782">
            <w:pPr>
              <w:rPr>
                <w:rFonts w:ascii="Arial" w:hAnsi="Arial" w:cs="Arial"/>
                <w:sz w:val="20"/>
                <w:szCs w:val="20"/>
              </w:rPr>
            </w:pPr>
            <w:r>
              <w:rPr>
                <w:rFonts w:ascii="Arial" w:hAnsi="Arial" w:cs="Arial"/>
                <w:sz w:val="20"/>
                <w:szCs w:val="20"/>
              </w:rPr>
              <w:t>4/2016</w:t>
            </w:r>
          </w:p>
        </w:tc>
        <w:tc>
          <w:tcPr>
            <w:tcW w:w="4236" w:type="dxa"/>
            <w:tcMar>
              <w:left w:w="86" w:type="dxa"/>
              <w:right w:w="86" w:type="dxa"/>
            </w:tcMar>
          </w:tcPr>
          <w:p w:rsidR="00611782" w:rsidRPr="00075C0A" w:rsidRDefault="002D13AD" w:rsidP="00611782">
            <w:pPr>
              <w:autoSpaceDE w:val="0"/>
              <w:autoSpaceDN w:val="0"/>
              <w:adjustRightInd w:val="0"/>
              <w:rPr>
                <w:szCs w:val="24"/>
              </w:rPr>
            </w:pPr>
            <w:r w:rsidRPr="00075C0A">
              <w:rPr>
                <w:szCs w:val="24"/>
              </w:rPr>
              <w:t>Recommendation accepted</w:t>
            </w:r>
          </w:p>
          <w:p w:rsidR="002D13AD" w:rsidRPr="00075C0A" w:rsidRDefault="002D13AD" w:rsidP="00611782">
            <w:pPr>
              <w:autoSpaceDE w:val="0"/>
              <w:autoSpaceDN w:val="0"/>
              <w:adjustRightInd w:val="0"/>
              <w:rPr>
                <w:szCs w:val="24"/>
              </w:rPr>
            </w:pPr>
          </w:p>
          <w:p w:rsidR="002D13AD" w:rsidRDefault="002D13AD" w:rsidP="002D13AD">
            <w:pPr>
              <w:rPr>
                <w:szCs w:val="24"/>
              </w:rPr>
            </w:pPr>
            <w:r w:rsidRPr="00075C0A">
              <w:rPr>
                <w:szCs w:val="24"/>
              </w:rPr>
              <w:t>FinCEN has determined that the financial institution that owns the ATM is responsible for reporting ATM activity. This includes either disbursing or accepting cash, that meets the BSA reporting threshold.</w:t>
            </w:r>
            <w:r>
              <w:rPr>
                <w:szCs w:val="24"/>
              </w:rPr>
              <w:t xml:space="preserve">       </w:t>
            </w:r>
          </w:p>
          <w:p w:rsidR="002D13AD" w:rsidRPr="00CB630A" w:rsidRDefault="002D13AD" w:rsidP="00611782">
            <w:pPr>
              <w:autoSpaceDE w:val="0"/>
              <w:autoSpaceDN w:val="0"/>
              <w:adjustRightInd w:val="0"/>
              <w:rPr>
                <w:rFonts w:ascii="Arial" w:hAnsi="Arial" w:cs="Arial"/>
                <w:sz w:val="20"/>
                <w:szCs w:val="20"/>
              </w:rPr>
            </w:pPr>
          </w:p>
        </w:tc>
        <w:tc>
          <w:tcPr>
            <w:tcW w:w="4292" w:type="dxa"/>
            <w:tcMar>
              <w:left w:w="86" w:type="dxa"/>
              <w:right w:w="86" w:type="dxa"/>
            </w:tcMar>
          </w:tcPr>
          <w:p w:rsidR="00611782" w:rsidRPr="00CB630A" w:rsidRDefault="00611782" w:rsidP="00611782">
            <w:pPr>
              <w:rPr>
                <w:rFonts w:ascii="Arial" w:hAnsi="Arial" w:cs="Arial"/>
                <w:sz w:val="20"/>
                <w:szCs w:val="20"/>
                <w:highlight w:val="yellow"/>
              </w:rPr>
            </w:pPr>
          </w:p>
        </w:tc>
      </w:tr>
      <w:tr w:rsidR="00611782" w:rsidRPr="00CB630A" w:rsidTr="0080583E">
        <w:tc>
          <w:tcPr>
            <w:tcW w:w="780" w:type="dxa"/>
          </w:tcPr>
          <w:p w:rsidR="00611782" w:rsidRPr="0080583E" w:rsidRDefault="00611782" w:rsidP="00611782">
            <w:pPr>
              <w:pStyle w:val="ListParagraph"/>
              <w:numPr>
                <w:ilvl w:val="0"/>
                <w:numId w:val="44"/>
              </w:numPr>
              <w:jc w:val="both"/>
              <w:rPr>
                <w:rFonts w:ascii="Arial" w:hAnsi="Arial" w:cs="Arial"/>
                <w:sz w:val="20"/>
                <w:szCs w:val="20"/>
              </w:rPr>
            </w:pPr>
          </w:p>
        </w:tc>
        <w:tc>
          <w:tcPr>
            <w:tcW w:w="4030" w:type="dxa"/>
            <w:tcMar>
              <w:left w:w="86" w:type="dxa"/>
              <w:right w:w="86" w:type="dxa"/>
            </w:tcMar>
          </w:tcPr>
          <w:p w:rsidR="00611782" w:rsidRDefault="00611782" w:rsidP="00611782">
            <w:pPr>
              <w:autoSpaceDE w:val="0"/>
              <w:autoSpaceDN w:val="0"/>
              <w:adjustRightInd w:val="0"/>
              <w:rPr>
                <w:rFonts w:ascii="Arial" w:hAnsi="Arial" w:cs="Arial"/>
                <w:sz w:val="20"/>
                <w:szCs w:val="20"/>
              </w:rPr>
            </w:pPr>
            <w:r>
              <w:rPr>
                <w:rFonts w:ascii="Arial" w:hAnsi="Arial" w:cs="Arial"/>
                <w:sz w:val="20"/>
                <w:szCs w:val="20"/>
              </w:rPr>
              <w:t>Definition</w:t>
            </w:r>
          </w:p>
          <w:p w:rsidR="00611782" w:rsidRDefault="00611782" w:rsidP="00611782">
            <w:pPr>
              <w:autoSpaceDE w:val="0"/>
              <w:autoSpaceDN w:val="0"/>
              <w:adjustRightInd w:val="0"/>
              <w:jc w:val="both"/>
              <w:rPr>
                <w:rFonts w:ascii="Arial" w:hAnsi="Arial" w:cs="Arial"/>
                <w:sz w:val="20"/>
                <w:szCs w:val="20"/>
              </w:rPr>
            </w:pPr>
          </w:p>
          <w:p w:rsidR="00611782" w:rsidRPr="00CB630A" w:rsidRDefault="00611782" w:rsidP="00611782">
            <w:pPr>
              <w:autoSpaceDE w:val="0"/>
              <w:autoSpaceDN w:val="0"/>
              <w:adjustRightInd w:val="0"/>
              <w:jc w:val="both"/>
              <w:rPr>
                <w:rFonts w:ascii="Arial" w:hAnsi="Arial" w:cs="Arial"/>
                <w:sz w:val="20"/>
                <w:szCs w:val="20"/>
              </w:rPr>
            </w:pPr>
            <w:r>
              <w:rPr>
                <w:rFonts w:ascii="Arial" w:hAnsi="Arial" w:cs="Arial"/>
                <w:sz w:val="20"/>
                <w:szCs w:val="20"/>
              </w:rPr>
              <w:t>(</w:t>
            </w:r>
            <w:r w:rsidRPr="00CB630A">
              <w:rPr>
                <w:rFonts w:ascii="Arial" w:hAnsi="Arial" w:cs="Arial"/>
                <w:sz w:val="20"/>
                <w:szCs w:val="20"/>
              </w:rPr>
              <w:t>8</w:t>
            </w:r>
            <w:r>
              <w:rPr>
                <w:rFonts w:ascii="Arial" w:hAnsi="Arial" w:cs="Arial"/>
                <w:sz w:val="20"/>
                <w:szCs w:val="20"/>
              </w:rPr>
              <w:t>)</w:t>
            </w:r>
            <w:r w:rsidRPr="00CB630A">
              <w:rPr>
                <w:rFonts w:ascii="Arial" w:hAnsi="Arial" w:cs="Arial"/>
                <w:sz w:val="20"/>
                <w:szCs w:val="20"/>
              </w:rPr>
              <w:t xml:space="preserve"> - FinCEN’s proposed change to the definition in item 2(d) of the BCTR form from “Courier Service (private)” to “Common carrier.” This issue has raised serious concerns by many industry parties. Without sufficient attention to the issue, including a proper rulemaking procedure, there is serious potential that application of this revision to the BCTR form would fail to serve law enforcement needs.</w:t>
            </w:r>
          </w:p>
        </w:tc>
        <w:tc>
          <w:tcPr>
            <w:tcW w:w="1062" w:type="dxa"/>
            <w:tcMar>
              <w:left w:w="86" w:type="dxa"/>
              <w:right w:w="86" w:type="dxa"/>
            </w:tcMar>
          </w:tcPr>
          <w:p w:rsidR="00611782" w:rsidRPr="00CB630A" w:rsidRDefault="00611782" w:rsidP="00611782">
            <w:pPr>
              <w:rPr>
                <w:rFonts w:ascii="Arial" w:hAnsi="Arial" w:cs="Arial"/>
                <w:sz w:val="20"/>
                <w:szCs w:val="20"/>
              </w:rPr>
            </w:pPr>
            <w:r>
              <w:rPr>
                <w:rFonts w:ascii="Arial" w:hAnsi="Arial" w:cs="Arial"/>
                <w:sz w:val="20"/>
                <w:szCs w:val="20"/>
              </w:rPr>
              <w:t>4/2016</w:t>
            </w:r>
          </w:p>
        </w:tc>
        <w:tc>
          <w:tcPr>
            <w:tcW w:w="4236" w:type="dxa"/>
            <w:tcMar>
              <w:left w:w="86" w:type="dxa"/>
              <w:right w:w="86" w:type="dxa"/>
            </w:tcMar>
          </w:tcPr>
          <w:p w:rsidR="00611782" w:rsidRDefault="00611782" w:rsidP="00611782">
            <w:pPr>
              <w:autoSpaceDE w:val="0"/>
              <w:autoSpaceDN w:val="0"/>
              <w:adjustRightInd w:val="0"/>
              <w:rPr>
                <w:rFonts w:ascii="Arial" w:hAnsi="Arial" w:cs="Arial"/>
                <w:sz w:val="20"/>
                <w:szCs w:val="20"/>
              </w:rPr>
            </w:pPr>
            <w:r>
              <w:rPr>
                <w:rFonts w:ascii="Arial" w:hAnsi="Arial" w:cs="Arial"/>
                <w:sz w:val="20"/>
                <w:szCs w:val="20"/>
              </w:rPr>
              <w:t>Recommendation Declined</w:t>
            </w:r>
          </w:p>
          <w:p w:rsidR="00611782" w:rsidRDefault="00611782" w:rsidP="00611782">
            <w:pPr>
              <w:autoSpaceDE w:val="0"/>
              <w:autoSpaceDN w:val="0"/>
              <w:adjustRightInd w:val="0"/>
              <w:rPr>
                <w:rFonts w:ascii="Arial" w:hAnsi="Arial" w:cs="Arial"/>
                <w:sz w:val="20"/>
                <w:szCs w:val="20"/>
              </w:rPr>
            </w:pPr>
          </w:p>
          <w:p w:rsidR="00611782" w:rsidRDefault="00611782" w:rsidP="00611782">
            <w:pPr>
              <w:autoSpaceDE w:val="0"/>
              <w:autoSpaceDN w:val="0"/>
              <w:adjustRightInd w:val="0"/>
              <w:rPr>
                <w:rFonts w:ascii="Arial" w:hAnsi="Arial" w:cs="Arial"/>
                <w:sz w:val="20"/>
                <w:szCs w:val="20"/>
              </w:rPr>
            </w:pPr>
            <w:r>
              <w:rPr>
                <w:rFonts w:ascii="Arial" w:hAnsi="Arial" w:cs="Arial"/>
                <w:sz w:val="20"/>
                <w:szCs w:val="20"/>
              </w:rPr>
              <w:t xml:space="preserve">Changes to the label for courier service private to common carrier does not affect the current understanding for law enforcement of who is reported in Part I. </w:t>
            </w:r>
          </w:p>
          <w:p w:rsidR="00611782" w:rsidRPr="00CB630A" w:rsidRDefault="00611782" w:rsidP="00611782">
            <w:pPr>
              <w:autoSpaceDE w:val="0"/>
              <w:autoSpaceDN w:val="0"/>
              <w:adjustRightInd w:val="0"/>
              <w:rPr>
                <w:rFonts w:ascii="Arial" w:hAnsi="Arial" w:cs="Arial"/>
                <w:sz w:val="20"/>
                <w:szCs w:val="20"/>
              </w:rPr>
            </w:pPr>
          </w:p>
        </w:tc>
        <w:tc>
          <w:tcPr>
            <w:tcW w:w="4292" w:type="dxa"/>
            <w:tcMar>
              <w:left w:w="86" w:type="dxa"/>
              <w:right w:w="86" w:type="dxa"/>
            </w:tcMar>
          </w:tcPr>
          <w:p w:rsidR="00611782" w:rsidRPr="00CB630A" w:rsidRDefault="00611782" w:rsidP="00611782">
            <w:pPr>
              <w:rPr>
                <w:rFonts w:ascii="Arial" w:hAnsi="Arial" w:cs="Arial"/>
                <w:sz w:val="20"/>
                <w:szCs w:val="20"/>
                <w:highlight w:val="yellow"/>
              </w:rPr>
            </w:pPr>
          </w:p>
        </w:tc>
      </w:tr>
      <w:tr w:rsidR="00611782" w:rsidRPr="00CB630A" w:rsidTr="0080583E">
        <w:tc>
          <w:tcPr>
            <w:tcW w:w="780" w:type="dxa"/>
          </w:tcPr>
          <w:p w:rsidR="00611782" w:rsidRPr="0080583E" w:rsidRDefault="00611782" w:rsidP="00611782">
            <w:pPr>
              <w:pStyle w:val="ListParagraph"/>
              <w:numPr>
                <w:ilvl w:val="0"/>
                <w:numId w:val="44"/>
              </w:numPr>
              <w:jc w:val="both"/>
              <w:rPr>
                <w:rFonts w:ascii="Arial" w:hAnsi="Arial" w:cs="Arial"/>
                <w:sz w:val="20"/>
                <w:szCs w:val="20"/>
              </w:rPr>
            </w:pPr>
          </w:p>
        </w:tc>
        <w:tc>
          <w:tcPr>
            <w:tcW w:w="4030" w:type="dxa"/>
            <w:tcMar>
              <w:left w:w="86" w:type="dxa"/>
              <w:right w:w="86" w:type="dxa"/>
            </w:tcMar>
          </w:tcPr>
          <w:p w:rsidR="00611782" w:rsidRDefault="00611782" w:rsidP="00611782">
            <w:pPr>
              <w:autoSpaceDE w:val="0"/>
              <w:autoSpaceDN w:val="0"/>
              <w:adjustRightInd w:val="0"/>
              <w:jc w:val="both"/>
              <w:rPr>
                <w:rFonts w:ascii="Arial" w:hAnsi="Arial" w:cs="Arial"/>
                <w:sz w:val="20"/>
                <w:szCs w:val="20"/>
              </w:rPr>
            </w:pPr>
            <w:r>
              <w:rPr>
                <w:rFonts w:ascii="Arial" w:hAnsi="Arial" w:cs="Arial"/>
                <w:sz w:val="20"/>
                <w:szCs w:val="20"/>
              </w:rPr>
              <w:t>Contact Office/Phone Number</w:t>
            </w:r>
          </w:p>
          <w:p w:rsidR="00611782" w:rsidRDefault="00611782" w:rsidP="00611782">
            <w:pPr>
              <w:autoSpaceDE w:val="0"/>
              <w:autoSpaceDN w:val="0"/>
              <w:adjustRightInd w:val="0"/>
              <w:jc w:val="both"/>
              <w:rPr>
                <w:rFonts w:ascii="Arial" w:hAnsi="Arial" w:cs="Arial"/>
                <w:sz w:val="20"/>
                <w:szCs w:val="20"/>
              </w:rPr>
            </w:pPr>
          </w:p>
          <w:p w:rsidR="00611782" w:rsidRDefault="00611782" w:rsidP="00611782">
            <w:pPr>
              <w:autoSpaceDE w:val="0"/>
              <w:autoSpaceDN w:val="0"/>
              <w:adjustRightInd w:val="0"/>
              <w:jc w:val="both"/>
              <w:rPr>
                <w:rFonts w:ascii="Arial" w:hAnsi="Arial" w:cs="Arial"/>
                <w:sz w:val="20"/>
                <w:szCs w:val="20"/>
              </w:rPr>
            </w:pPr>
            <w:r>
              <w:rPr>
                <w:rFonts w:ascii="Arial" w:hAnsi="Arial" w:cs="Arial"/>
                <w:sz w:val="20"/>
                <w:szCs w:val="20"/>
              </w:rPr>
              <w:t>(</w:t>
            </w:r>
            <w:r w:rsidRPr="00CB630A">
              <w:rPr>
                <w:rFonts w:ascii="Arial" w:hAnsi="Arial" w:cs="Arial"/>
                <w:sz w:val="20"/>
                <w:szCs w:val="20"/>
              </w:rPr>
              <w:t>6</w:t>
            </w:r>
            <w:r>
              <w:rPr>
                <w:rFonts w:ascii="Arial" w:hAnsi="Arial" w:cs="Arial"/>
                <w:sz w:val="20"/>
                <w:szCs w:val="20"/>
              </w:rPr>
              <w:t>)</w:t>
            </w:r>
            <w:r w:rsidRPr="00CB630A">
              <w:rPr>
                <w:rFonts w:ascii="Arial" w:hAnsi="Arial" w:cs="Arial"/>
                <w:sz w:val="20"/>
                <w:szCs w:val="20"/>
              </w:rPr>
              <w:t xml:space="preserve"> - We would not know the contact office and phone number for that office without digging and the location where the transaction took place may not be the contact office.  It would be beneficial to have an unknown option associated with the </w:t>
            </w:r>
            <w:r w:rsidRPr="00CB630A">
              <w:rPr>
                <w:rFonts w:ascii="Arial" w:hAnsi="Arial" w:cs="Arial"/>
                <w:sz w:val="20"/>
                <w:szCs w:val="20"/>
              </w:rPr>
              <w:lastRenderedPageBreak/>
              <w:t>contact office and phone number for this reason.</w:t>
            </w:r>
          </w:p>
          <w:p w:rsidR="00611782" w:rsidRPr="00CB630A" w:rsidRDefault="00611782" w:rsidP="00611782">
            <w:pPr>
              <w:autoSpaceDE w:val="0"/>
              <w:autoSpaceDN w:val="0"/>
              <w:adjustRightInd w:val="0"/>
              <w:jc w:val="both"/>
              <w:rPr>
                <w:rFonts w:ascii="Arial" w:hAnsi="Arial" w:cs="Arial"/>
                <w:sz w:val="20"/>
                <w:szCs w:val="20"/>
              </w:rPr>
            </w:pPr>
          </w:p>
          <w:p w:rsidR="00611782" w:rsidRPr="00CB630A" w:rsidRDefault="00611782" w:rsidP="00611782">
            <w:pPr>
              <w:autoSpaceDE w:val="0"/>
              <w:autoSpaceDN w:val="0"/>
              <w:adjustRightInd w:val="0"/>
              <w:rPr>
                <w:rFonts w:ascii="Arial" w:hAnsi="Arial" w:cs="Arial"/>
                <w:sz w:val="20"/>
                <w:szCs w:val="20"/>
              </w:rPr>
            </w:pPr>
          </w:p>
        </w:tc>
        <w:tc>
          <w:tcPr>
            <w:tcW w:w="1062" w:type="dxa"/>
            <w:tcMar>
              <w:left w:w="86" w:type="dxa"/>
              <w:right w:w="86" w:type="dxa"/>
            </w:tcMar>
          </w:tcPr>
          <w:p w:rsidR="00611782" w:rsidRPr="00CB630A" w:rsidRDefault="00611782" w:rsidP="00611782">
            <w:pPr>
              <w:rPr>
                <w:rFonts w:ascii="Arial" w:hAnsi="Arial" w:cs="Arial"/>
                <w:sz w:val="20"/>
                <w:szCs w:val="20"/>
              </w:rPr>
            </w:pPr>
            <w:r>
              <w:rPr>
                <w:rFonts w:ascii="Arial" w:hAnsi="Arial" w:cs="Arial"/>
                <w:sz w:val="20"/>
                <w:szCs w:val="20"/>
              </w:rPr>
              <w:lastRenderedPageBreak/>
              <w:t>4/2016</w:t>
            </w:r>
          </w:p>
        </w:tc>
        <w:tc>
          <w:tcPr>
            <w:tcW w:w="4236" w:type="dxa"/>
            <w:tcMar>
              <w:left w:w="86" w:type="dxa"/>
              <w:right w:w="86" w:type="dxa"/>
            </w:tcMar>
          </w:tcPr>
          <w:p w:rsidR="00611782" w:rsidRDefault="00611782" w:rsidP="00611782">
            <w:pPr>
              <w:rPr>
                <w:rFonts w:ascii="Arial" w:hAnsi="Arial" w:cs="Arial"/>
                <w:szCs w:val="24"/>
              </w:rPr>
            </w:pPr>
            <w:r w:rsidRPr="000C3051">
              <w:rPr>
                <w:rFonts w:ascii="Arial" w:hAnsi="Arial" w:cs="Arial"/>
                <w:sz w:val="20"/>
                <w:szCs w:val="20"/>
              </w:rPr>
              <w:t>Recommendation Declined – It is possible that for a specific transaction location, the contact office and phone number would not be known. However, the Contact Office and Phone Number are for the institution that is reporting the filing and therefore should be known.</w:t>
            </w:r>
            <w:r>
              <w:rPr>
                <w:rFonts w:ascii="Arial" w:hAnsi="Arial" w:cs="Arial"/>
                <w:szCs w:val="24"/>
              </w:rPr>
              <w:t xml:space="preserve">  </w:t>
            </w:r>
          </w:p>
        </w:tc>
        <w:tc>
          <w:tcPr>
            <w:tcW w:w="4292" w:type="dxa"/>
            <w:tcMar>
              <w:left w:w="86" w:type="dxa"/>
              <w:right w:w="86" w:type="dxa"/>
            </w:tcMar>
          </w:tcPr>
          <w:p w:rsidR="00611782" w:rsidRPr="00CB630A" w:rsidRDefault="00611782" w:rsidP="00611782">
            <w:pPr>
              <w:rPr>
                <w:rFonts w:ascii="Arial" w:hAnsi="Arial" w:cs="Arial"/>
                <w:sz w:val="20"/>
                <w:szCs w:val="20"/>
                <w:highlight w:val="yellow"/>
              </w:rPr>
            </w:pPr>
          </w:p>
        </w:tc>
      </w:tr>
      <w:tr w:rsidR="00611782" w:rsidRPr="00CB630A" w:rsidTr="0080583E">
        <w:tc>
          <w:tcPr>
            <w:tcW w:w="780" w:type="dxa"/>
          </w:tcPr>
          <w:p w:rsidR="00611782" w:rsidRPr="0080583E" w:rsidRDefault="00611782" w:rsidP="00611782">
            <w:pPr>
              <w:pStyle w:val="ListParagraph"/>
              <w:numPr>
                <w:ilvl w:val="0"/>
                <w:numId w:val="44"/>
              </w:numPr>
              <w:jc w:val="both"/>
              <w:rPr>
                <w:rFonts w:ascii="Arial" w:hAnsi="Arial" w:cs="Arial"/>
                <w:sz w:val="20"/>
                <w:szCs w:val="20"/>
              </w:rPr>
            </w:pPr>
          </w:p>
        </w:tc>
        <w:tc>
          <w:tcPr>
            <w:tcW w:w="4030" w:type="dxa"/>
            <w:tcMar>
              <w:left w:w="86" w:type="dxa"/>
              <w:right w:w="86" w:type="dxa"/>
            </w:tcMar>
          </w:tcPr>
          <w:p w:rsidR="00611782" w:rsidRDefault="00611782" w:rsidP="00611782">
            <w:pPr>
              <w:autoSpaceDE w:val="0"/>
              <w:autoSpaceDN w:val="0"/>
              <w:adjustRightInd w:val="0"/>
              <w:rPr>
                <w:rFonts w:ascii="Arial" w:hAnsi="Arial" w:cs="Arial"/>
                <w:sz w:val="20"/>
                <w:szCs w:val="20"/>
              </w:rPr>
            </w:pPr>
            <w:r>
              <w:rPr>
                <w:rFonts w:ascii="Arial" w:hAnsi="Arial" w:cs="Arial"/>
                <w:sz w:val="20"/>
                <w:szCs w:val="20"/>
              </w:rPr>
              <w:t>Definition</w:t>
            </w:r>
          </w:p>
          <w:p w:rsidR="00611782" w:rsidRDefault="00611782" w:rsidP="00611782">
            <w:pPr>
              <w:autoSpaceDE w:val="0"/>
              <w:autoSpaceDN w:val="0"/>
              <w:adjustRightInd w:val="0"/>
              <w:rPr>
                <w:rFonts w:ascii="Arial" w:hAnsi="Arial" w:cs="Arial"/>
                <w:sz w:val="20"/>
                <w:szCs w:val="20"/>
              </w:rPr>
            </w:pPr>
          </w:p>
          <w:p w:rsidR="00611782" w:rsidRDefault="00611782" w:rsidP="00611782">
            <w:pPr>
              <w:autoSpaceDE w:val="0"/>
              <w:autoSpaceDN w:val="0"/>
              <w:adjustRightInd w:val="0"/>
              <w:rPr>
                <w:rFonts w:ascii="Arial" w:hAnsi="Arial" w:cs="Arial"/>
                <w:sz w:val="20"/>
                <w:szCs w:val="20"/>
              </w:rPr>
            </w:pPr>
            <w:r>
              <w:rPr>
                <w:rFonts w:ascii="Arial" w:hAnsi="Arial" w:cs="Arial"/>
                <w:sz w:val="20"/>
                <w:szCs w:val="20"/>
              </w:rPr>
              <w:t>(</w:t>
            </w:r>
            <w:r w:rsidRPr="00CB630A">
              <w:rPr>
                <w:rFonts w:ascii="Arial" w:hAnsi="Arial" w:cs="Arial"/>
                <w:sz w:val="20"/>
                <w:szCs w:val="20"/>
              </w:rPr>
              <w:t>6</w:t>
            </w:r>
            <w:r>
              <w:rPr>
                <w:rFonts w:ascii="Arial" w:hAnsi="Arial" w:cs="Arial"/>
                <w:sz w:val="20"/>
                <w:szCs w:val="20"/>
              </w:rPr>
              <w:t>)</w:t>
            </w:r>
            <w:r w:rsidRPr="00CB630A">
              <w:rPr>
                <w:rFonts w:ascii="Arial" w:hAnsi="Arial" w:cs="Arial"/>
                <w:sz w:val="20"/>
                <w:szCs w:val="20"/>
              </w:rPr>
              <w:t xml:space="preserve"> - Also related to Part III, I am seeking clarification as the whether or not ATM transaction locations must be provided.  When an ATM is involved in aggregate transactions reaching the reporting threshold the ATM transaction amount is reported and the ATM box checked. Are ATM locations consider a branch?  Considering any ATM locations as a branch would be burdensome since transaction reports may only code it as an ATM without location information.</w:t>
            </w:r>
          </w:p>
          <w:p w:rsidR="00611782" w:rsidRPr="00CB630A" w:rsidRDefault="00611782" w:rsidP="00611782">
            <w:pPr>
              <w:autoSpaceDE w:val="0"/>
              <w:autoSpaceDN w:val="0"/>
              <w:adjustRightInd w:val="0"/>
              <w:rPr>
                <w:rFonts w:ascii="Arial" w:hAnsi="Arial" w:cs="Arial"/>
                <w:sz w:val="20"/>
                <w:szCs w:val="20"/>
              </w:rPr>
            </w:pPr>
          </w:p>
        </w:tc>
        <w:tc>
          <w:tcPr>
            <w:tcW w:w="1062" w:type="dxa"/>
            <w:tcMar>
              <w:left w:w="86" w:type="dxa"/>
              <w:right w:w="86" w:type="dxa"/>
            </w:tcMar>
          </w:tcPr>
          <w:p w:rsidR="00611782" w:rsidRPr="00CB630A" w:rsidRDefault="00611782" w:rsidP="00611782">
            <w:pPr>
              <w:rPr>
                <w:rFonts w:ascii="Arial" w:hAnsi="Arial" w:cs="Arial"/>
                <w:sz w:val="20"/>
                <w:szCs w:val="20"/>
              </w:rPr>
            </w:pPr>
            <w:r>
              <w:rPr>
                <w:rFonts w:ascii="Arial" w:hAnsi="Arial" w:cs="Arial"/>
                <w:sz w:val="20"/>
                <w:szCs w:val="20"/>
              </w:rPr>
              <w:t>4/2016</w:t>
            </w:r>
          </w:p>
        </w:tc>
        <w:tc>
          <w:tcPr>
            <w:tcW w:w="4236" w:type="dxa"/>
            <w:tcMar>
              <w:left w:w="86" w:type="dxa"/>
              <w:right w:w="86" w:type="dxa"/>
            </w:tcMar>
          </w:tcPr>
          <w:p w:rsidR="00611782" w:rsidRPr="00075C0A" w:rsidRDefault="00565830" w:rsidP="00611782">
            <w:pPr>
              <w:autoSpaceDE w:val="0"/>
              <w:autoSpaceDN w:val="0"/>
              <w:adjustRightInd w:val="0"/>
              <w:rPr>
                <w:rFonts w:ascii="Arial" w:hAnsi="Arial" w:cs="Arial"/>
                <w:sz w:val="20"/>
                <w:szCs w:val="20"/>
              </w:rPr>
            </w:pPr>
            <w:r w:rsidRPr="00075C0A">
              <w:rPr>
                <w:rFonts w:ascii="Arial" w:hAnsi="Arial" w:cs="Arial"/>
                <w:sz w:val="20"/>
                <w:szCs w:val="20"/>
              </w:rPr>
              <w:t>Recommendation Declined</w:t>
            </w:r>
          </w:p>
          <w:p w:rsidR="00565830" w:rsidRPr="00075C0A" w:rsidRDefault="00565830" w:rsidP="00611782">
            <w:pPr>
              <w:autoSpaceDE w:val="0"/>
              <w:autoSpaceDN w:val="0"/>
              <w:adjustRightInd w:val="0"/>
              <w:rPr>
                <w:rFonts w:ascii="Arial" w:hAnsi="Arial" w:cs="Arial"/>
                <w:sz w:val="20"/>
                <w:szCs w:val="20"/>
              </w:rPr>
            </w:pPr>
          </w:p>
          <w:p w:rsidR="00565830" w:rsidRPr="00075C0A" w:rsidRDefault="00565830" w:rsidP="00565830">
            <w:pPr>
              <w:overflowPunct w:val="0"/>
              <w:autoSpaceDE w:val="0"/>
              <w:autoSpaceDN w:val="0"/>
              <w:spacing w:before="120"/>
              <w:rPr>
                <w:rFonts w:ascii="Arial" w:hAnsi="Arial" w:cs="Arial"/>
                <w:sz w:val="20"/>
                <w:szCs w:val="20"/>
              </w:rPr>
            </w:pPr>
            <w:r w:rsidRPr="00075C0A">
              <w:rPr>
                <w:rFonts w:ascii="Arial" w:hAnsi="Arial" w:cs="Arial"/>
                <w:sz w:val="20"/>
                <w:szCs w:val="20"/>
              </w:rPr>
              <w:t>Transactions conducted at ATMs are reported to the financial institution. The reported information includes the location (address) of the ATM.</w:t>
            </w:r>
          </w:p>
          <w:p w:rsidR="00565830" w:rsidRPr="00157136" w:rsidRDefault="00565830" w:rsidP="00611782">
            <w:pPr>
              <w:autoSpaceDE w:val="0"/>
              <w:autoSpaceDN w:val="0"/>
              <w:adjustRightInd w:val="0"/>
              <w:rPr>
                <w:rFonts w:ascii="Arial" w:hAnsi="Arial" w:cs="Arial"/>
                <w:sz w:val="20"/>
                <w:szCs w:val="20"/>
                <w:highlight w:val="yellow"/>
              </w:rPr>
            </w:pPr>
            <w:bookmarkStart w:id="1" w:name="_GoBack"/>
            <w:bookmarkEnd w:id="1"/>
          </w:p>
        </w:tc>
        <w:tc>
          <w:tcPr>
            <w:tcW w:w="4292" w:type="dxa"/>
            <w:tcMar>
              <w:left w:w="86" w:type="dxa"/>
              <w:right w:w="86" w:type="dxa"/>
            </w:tcMar>
          </w:tcPr>
          <w:p w:rsidR="00611782" w:rsidRPr="00CB630A" w:rsidRDefault="00611782" w:rsidP="00611782">
            <w:pPr>
              <w:rPr>
                <w:rFonts w:ascii="Arial" w:hAnsi="Arial" w:cs="Arial"/>
                <w:sz w:val="20"/>
                <w:szCs w:val="20"/>
                <w:highlight w:val="yellow"/>
              </w:rPr>
            </w:pPr>
          </w:p>
        </w:tc>
      </w:tr>
      <w:tr w:rsidR="00611782" w:rsidRPr="00CB630A" w:rsidTr="0080583E">
        <w:tc>
          <w:tcPr>
            <w:tcW w:w="780" w:type="dxa"/>
          </w:tcPr>
          <w:p w:rsidR="00611782" w:rsidRPr="0080583E" w:rsidRDefault="00611782" w:rsidP="00611782">
            <w:pPr>
              <w:pStyle w:val="ListParagraph"/>
              <w:numPr>
                <w:ilvl w:val="0"/>
                <w:numId w:val="44"/>
              </w:numPr>
              <w:jc w:val="both"/>
              <w:rPr>
                <w:rFonts w:ascii="Arial" w:hAnsi="Arial" w:cs="Arial"/>
                <w:sz w:val="20"/>
                <w:szCs w:val="20"/>
              </w:rPr>
            </w:pPr>
          </w:p>
        </w:tc>
        <w:tc>
          <w:tcPr>
            <w:tcW w:w="4030" w:type="dxa"/>
            <w:tcMar>
              <w:left w:w="86" w:type="dxa"/>
              <w:right w:w="86" w:type="dxa"/>
            </w:tcMar>
          </w:tcPr>
          <w:p w:rsidR="00611782" w:rsidRDefault="00611782" w:rsidP="00611782">
            <w:pPr>
              <w:autoSpaceDE w:val="0"/>
              <w:autoSpaceDN w:val="0"/>
              <w:adjustRightInd w:val="0"/>
              <w:rPr>
                <w:rFonts w:ascii="Arial" w:hAnsi="Arial" w:cs="Arial"/>
                <w:sz w:val="20"/>
                <w:szCs w:val="20"/>
              </w:rPr>
            </w:pPr>
            <w:r>
              <w:rPr>
                <w:rFonts w:ascii="Arial" w:hAnsi="Arial" w:cs="Arial"/>
                <w:sz w:val="20"/>
                <w:szCs w:val="20"/>
              </w:rPr>
              <w:t>Timeframe</w:t>
            </w:r>
          </w:p>
          <w:p w:rsidR="00611782" w:rsidRDefault="00611782" w:rsidP="00611782">
            <w:pPr>
              <w:autoSpaceDE w:val="0"/>
              <w:autoSpaceDN w:val="0"/>
              <w:adjustRightInd w:val="0"/>
              <w:rPr>
                <w:rFonts w:ascii="Arial" w:hAnsi="Arial" w:cs="Arial"/>
                <w:sz w:val="20"/>
                <w:szCs w:val="20"/>
              </w:rPr>
            </w:pPr>
          </w:p>
          <w:p w:rsidR="00611782" w:rsidRPr="00CB630A" w:rsidRDefault="00611782" w:rsidP="00611782">
            <w:pPr>
              <w:autoSpaceDE w:val="0"/>
              <w:autoSpaceDN w:val="0"/>
              <w:adjustRightInd w:val="0"/>
              <w:rPr>
                <w:rFonts w:ascii="Arial" w:hAnsi="Arial" w:cs="Arial"/>
                <w:sz w:val="20"/>
                <w:szCs w:val="20"/>
              </w:rPr>
            </w:pPr>
            <w:r>
              <w:rPr>
                <w:rFonts w:ascii="Arial" w:hAnsi="Arial" w:cs="Arial"/>
                <w:sz w:val="20"/>
                <w:szCs w:val="20"/>
              </w:rPr>
              <w:t>(</w:t>
            </w:r>
            <w:r w:rsidRPr="00CB630A">
              <w:rPr>
                <w:rFonts w:ascii="Arial" w:hAnsi="Arial" w:cs="Arial"/>
                <w:bCs/>
                <w:sz w:val="20"/>
                <w:szCs w:val="20"/>
              </w:rPr>
              <w:t>5</w:t>
            </w:r>
            <w:r>
              <w:rPr>
                <w:rFonts w:ascii="Arial" w:hAnsi="Arial" w:cs="Arial"/>
                <w:bCs/>
                <w:sz w:val="20"/>
                <w:szCs w:val="20"/>
              </w:rPr>
              <w:t>)</w:t>
            </w:r>
            <w:r w:rsidRPr="00CB630A">
              <w:rPr>
                <w:rFonts w:ascii="Arial" w:hAnsi="Arial" w:cs="Arial"/>
                <w:bCs/>
                <w:sz w:val="20"/>
                <w:szCs w:val="20"/>
              </w:rPr>
              <w:t xml:space="preserve"> - FinCEN should provide financial institutions with at least 18 months to adjust their systems and processes before the proposed revisions to the BCTR take effect and stipulate that institutions will be able to file report amendments using the report format originally used. </w:t>
            </w:r>
          </w:p>
          <w:p w:rsidR="00611782" w:rsidRPr="00CB630A" w:rsidRDefault="00611782" w:rsidP="00611782">
            <w:pPr>
              <w:autoSpaceDE w:val="0"/>
              <w:autoSpaceDN w:val="0"/>
              <w:adjustRightInd w:val="0"/>
              <w:rPr>
                <w:rFonts w:ascii="Arial" w:hAnsi="Arial" w:cs="Arial"/>
                <w:sz w:val="20"/>
                <w:szCs w:val="20"/>
              </w:rPr>
            </w:pPr>
          </w:p>
          <w:p w:rsidR="00611782" w:rsidRPr="00CB630A" w:rsidRDefault="00611782" w:rsidP="00611782">
            <w:pPr>
              <w:autoSpaceDE w:val="0"/>
              <w:autoSpaceDN w:val="0"/>
              <w:adjustRightInd w:val="0"/>
              <w:rPr>
                <w:rFonts w:ascii="Arial" w:hAnsi="Arial" w:cs="Arial"/>
                <w:sz w:val="20"/>
                <w:szCs w:val="20"/>
              </w:rPr>
            </w:pPr>
            <w:r>
              <w:rPr>
                <w:rFonts w:ascii="Arial" w:hAnsi="Arial" w:cs="Arial"/>
                <w:sz w:val="20"/>
                <w:szCs w:val="20"/>
              </w:rPr>
              <w:t>(</w:t>
            </w:r>
            <w:r w:rsidRPr="00CB630A">
              <w:rPr>
                <w:rFonts w:ascii="Arial" w:hAnsi="Arial" w:cs="Arial"/>
                <w:sz w:val="20"/>
                <w:szCs w:val="20"/>
              </w:rPr>
              <w:t>8</w:t>
            </w:r>
            <w:r>
              <w:rPr>
                <w:rFonts w:ascii="Arial" w:hAnsi="Arial" w:cs="Arial"/>
                <w:sz w:val="20"/>
                <w:szCs w:val="20"/>
              </w:rPr>
              <w:t>)</w:t>
            </w:r>
            <w:r w:rsidRPr="00CB630A">
              <w:rPr>
                <w:rFonts w:ascii="Arial" w:hAnsi="Arial" w:cs="Arial"/>
                <w:sz w:val="20"/>
                <w:szCs w:val="20"/>
              </w:rPr>
              <w:t xml:space="preserve"> - For some institutions, at least six to twelve months lead time is necessary. Therefore, we recommend that FinCEN allow no less than one year for the financial sector to implement any changes that are finalized.</w:t>
            </w:r>
          </w:p>
          <w:p w:rsidR="00611782" w:rsidRPr="00CB630A" w:rsidRDefault="00611782" w:rsidP="00611782">
            <w:pPr>
              <w:autoSpaceDE w:val="0"/>
              <w:autoSpaceDN w:val="0"/>
              <w:adjustRightInd w:val="0"/>
              <w:ind w:left="360"/>
              <w:rPr>
                <w:rFonts w:ascii="Arial" w:hAnsi="Arial" w:cs="Arial"/>
                <w:sz w:val="20"/>
                <w:szCs w:val="20"/>
              </w:rPr>
            </w:pPr>
          </w:p>
        </w:tc>
        <w:tc>
          <w:tcPr>
            <w:tcW w:w="1062" w:type="dxa"/>
            <w:tcMar>
              <w:left w:w="86" w:type="dxa"/>
              <w:right w:w="86" w:type="dxa"/>
            </w:tcMar>
          </w:tcPr>
          <w:p w:rsidR="00611782" w:rsidRPr="00CB630A" w:rsidRDefault="00611782" w:rsidP="00611782">
            <w:pPr>
              <w:rPr>
                <w:rFonts w:ascii="Arial" w:hAnsi="Arial" w:cs="Arial"/>
                <w:sz w:val="20"/>
                <w:szCs w:val="20"/>
              </w:rPr>
            </w:pPr>
            <w:r>
              <w:rPr>
                <w:rFonts w:ascii="Arial" w:hAnsi="Arial" w:cs="Arial"/>
                <w:sz w:val="20"/>
                <w:szCs w:val="20"/>
              </w:rPr>
              <w:t>4/2016</w:t>
            </w:r>
          </w:p>
        </w:tc>
        <w:tc>
          <w:tcPr>
            <w:tcW w:w="4236" w:type="dxa"/>
            <w:tcMar>
              <w:left w:w="86" w:type="dxa"/>
              <w:right w:w="86" w:type="dxa"/>
            </w:tcMar>
          </w:tcPr>
          <w:p w:rsidR="00611782" w:rsidRPr="004915AB" w:rsidRDefault="00611782" w:rsidP="00611782">
            <w:r w:rsidRPr="004915AB">
              <w:t>Recommendation Amended</w:t>
            </w:r>
          </w:p>
          <w:p w:rsidR="00611782" w:rsidRPr="004915AB" w:rsidRDefault="00611782" w:rsidP="00611782"/>
          <w:p w:rsidR="00611782" w:rsidRPr="0037680F" w:rsidRDefault="00611782" w:rsidP="00611782">
            <w:pPr>
              <w:rPr>
                <w:rFonts w:ascii="Arial" w:hAnsi="Arial" w:cs="Arial"/>
                <w:sz w:val="20"/>
                <w:szCs w:val="20"/>
                <w:highlight w:val="yellow"/>
              </w:rPr>
            </w:pPr>
            <w:r w:rsidRPr="004915AB">
              <w:t xml:space="preserve">Respondents </w:t>
            </w:r>
            <w:r>
              <w:t>estimated</w:t>
            </w:r>
            <w:r w:rsidRPr="004915AB">
              <w:t xml:space="preserve"> a transition period of 6 to 18 months to implement these changes. FinCEN agrees that a transition period will be required but believes the estimate of 6 to 18 months </w:t>
            </w:r>
            <w:r>
              <w:t>may be</w:t>
            </w:r>
            <w:r w:rsidRPr="004915AB">
              <w:t xml:space="preserve"> overstated. As an aid to all BSA filers and to minimize the transition period as much as possible, FinCEN will make available to all filers the electronic file specifications (both ACSII and the XML Schema) to support filing discrete reports and bulk or SDMC reporting through the BSA E-File system at least 6 months prior to implementation. </w:t>
            </w:r>
          </w:p>
        </w:tc>
        <w:tc>
          <w:tcPr>
            <w:tcW w:w="4292" w:type="dxa"/>
            <w:tcMar>
              <w:left w:w="86" w:type="dxa"/>
              <w:right w:w="86" w:type="dxa"/>
            </w:tcMar>
          </w:tcPr>
          <w:p w:rsidR="00611782" w:rsidRPr="00CB630A" w:rsidRDefault="00611782" w:rsidP="00611782">
            <w:pPr>
              <w:rPr>
                <w:rFonts w:ascii="Arial" w:hAnsi="Arial" w:cs="Arial"/>
                <w:sz w:val="20"/>
                <w:szCs w:val="20"/>
                <w:highlight w:val="yellow"/>
              </w:rPr>
            </w:pPr>
          </w:p>
        </w:tc>
      </w:tr>
      <w:tr w:rsidR="00611782" w:rsidRPr="00CB630A" w:rsidTr="0080583E">
        <w:tc>
          <w:tcPr>
            <w:tcW w:w="780" w:type="dxa"/>
          </w:tcPr>
          <w:p w:rsidR="00611782" w:rsidRPr="0080583E" w:rsidRDefault="00611782" w:rsidP="00611782">
            <w:pPr>
              <w:pStyle w:val="ListParagraph"/>
              <w:numPr>
                <w:ilvl w:val="0"/>
                <w:numId w:val="44"/>
              </w:numPr>
              <w:jc w:val="both"/>
              <w:rPr>
                <w:rFonts w:ascii="Arial" w:hAnsi="Arial" w:cs="Arial"/>
                <w:sz w:val="20"/>
                <w:szCs w:val="20"/>
              </w:rPr>
            </w:pPr>
          </w:p>
        </w:tc>
        <w:tc>
          <w:tcPr>
            <w:tcW w:w="4030" w:type="dxa"/>
            <w:tcMar>
              <w:left w:w="86" w:type="dxa"/>
              <w:right w:w="86" w:type="dxa"/>
            </w:tcMar>
          </w:tcPr>
          <w:p w:rsidR="00611782" w:rsidRDefault="00611782" w:rsidP="00611782">
            <w:pPr>
              <w:autoSpaceDE w:val="0"/>
              <w:autoSpaceDN w:val="0"/>
              <w:adjustRightInd w:val="0"/>
              <w:rPr>
                <w:rFonts w:ascii="Arial" w:hAnsi="Arial" w:cs="Arial"/>
                <w:sz w:val="20"/>
                <w:szCs w:val="20"/>
              </w:rPr>
            </w:pPr>
            <w:r>
              <w:rPr>
                <w:rFonts w:ascii="Arial" w:hAnsi="Arial" w:cs="Arial"/>
                <w:sz w:val="20"/>
                <w:szCs w:val="20"/>
              </w:rPr>
              <w:t>Amendments</w:t>
            </w:r>
          </w:p>
          <w:p w:rsidR="00611782" w:rsidRDefault="00611782" w:rsidP="00611782">
            <w:pPr>
              <w:autoSpaceDE w:val="0"/>
              <w:autoSpaceDN w:val="0"/>
              <w:adjustRightInd w:val="0"/>
              <w:rPr>
                <w:rFonts w:ascii="Arial" w:hAnsi="Arial" w:cs="Arial"/>
                <w:sz w:val="20"/>
                <w:szCs w:val="20"/>
              </w:rPr>
            </w:pPr>
          </w:p>
          <w:p w:rsidR="00611782" w:rsidRDefault="00611782" w:rsidP="00611782">
            <w:pPr>
              <w:autoSpaceDE w:val="0"/>
              <w:autoSpaceDN w:val="0"/>
              <w:adjustRightInd w:val="0"/>
              <w:rPr>
                <w:rFonts w:ascii="Arial" w:hAnsi="Arial" w:cs="Arial"/>
                <w:sz w:val="20"/>
                <w:szCs w:val="20"/>
              </w:rPr>
            </w:pPr>
            <w:r>
              <w:rPr>
                <w:rFonts w:ascii="Arial" w:hAnsi="Arial" w:cs="Arial"/>
                <w:sz w:val="20"/>
                <w:szCs w:val="20"/>
              </w:rPr>
              <w:t>(</w:t>
            </w:r>
            <w:r w:rsidRPr="00CB630A">
              <w:rPr>
                <w:rFonts w:ascii="Arial" w:hAnsi="Arial" w:cs="Arial"/>
                <w:sz w:val="20"/>
                <w:szCs w:val="20"/>
              </w:rPr>
              <w:t>5</w:t>
            </w:r>
            <w:r>
              <w:rPr>
                <w:rFonts w:ascii="Arial" w:hAnsi="Arial" w:cs="Arial"/>
                <w:sz w:val="20"/>
                <w:szCs w:val="20"/>
              </w:rPr>
              <w:t>)</w:t>
            </w:r>
            <w:r w:rsidRPr="00CB630A">
              <w:rPr>
                <w:rFonts w:ascii="Arial" w:hAnsi="Arial" w:cs="Arial"/>
                <w:sz w:val="20"/>
                <w:szCs w:val="20"/>
              </w:rPr>
              <w:t xml:space="preserve"> - For this reason, we also request that FinCEN stipulate that an institution will be permitted to file amendments to previously filed BCTRs in the same format as that which was originally filed with FinCEN.</w:t>
            </w:r>
          </w:p>
          <w:p w:rsidR="00611782" w:rsidRDefault="00611782" w:rsidP="00611782">
            <w:pPr>
              <w:autoSpaceDE w:val="0"/>
              <w:autoSpaceDN w:val="0"/>
              <w:adjustRightInd w:val="0"/>
              <w:rPr>
                <w:rFonts w:ascii="Arial" w:hAnsi="Arial" w:cs="Arial"/>
                <w:sz w:val="20"/>
                <w:szCs w:val="20"/>
              </w:rPr>
            </w:pPr>
          </w:p>
          <w:p w:rsidR="00611782" w:rsidRPr="00CB630A" w:rsidRDefault="00611782" w:rsidP="00611782">
            <w:pPr>
              <w:autoSpaceDE w:val="0"/>
              <w:autoSpaceDN w:val="0"/>
              <w:adjustRightInd w:val="0"/>
              <w:rPr>
                <w:rFonts w:ascii="Arial" w:hAnsi="Arial" w:cs="Arial"/>
                <w:sz w:val="20"/>
                <w:szCs w:val="20"/>
              </w:rPr>
            </w:pPr>
          </w:p>
        </w:tc>
        <w:tc>
          <w:tcPr>
            <w:tcW w:w="1062" w:type="dxa"/>
            <w:tcMar>
              <w:left w:w="86" w:type="dxa"/>
              <w:right w:w="86" w:type="dxa"/>
            </w:tcMar>
          </w:tcPr>
          <w:p w:rsidR="00611782" w:rsidRPr="00CB630A" w:rsidRDefault="00611782" w:rsidP="00611782">
            <w:pPr>
              <w:rPr>
                <w:rFonts w:ascii="Arial" w:hAnsi="Arial" w:cs="Arial"/>
                <w:sz w:val="20"/>
                <w:szCs w:val="20"/>
              </w:rPr>
            </w:pPr>
            <w:r>
              <w:rPr>
                <w:rFonts w:ascii="Arial" w:hAnsi="Arial" w:cs="Arial"/>
                <w:sz w:val="20"/>
                <w:szCs w:val="20"/>
              </w:rPr>
              <w:t>4/2016</w:t>
            </w:r>
          </w:p>
        </w:tc>
        <w:tc>
          <w:tcPr>
            <w:tcW w:w="4236" w:type="dxa"/>
            <w:tcMar>
              <w:left w:w="86" w:type="dxa"/>
              <w:right w:w="86" w:type="dxa"/>
            </w:tcMar>
          </w:tcPr>
          <w:p w:rsidR="00611782" w:rsidRPr="004915AB" w:rsidRDefault="00611782" w:rsidP="00611782">
            <w:pPr>
              <w:rPr>
                <w:rFonts w:ascii="Arial" w:hAnsi="Arial" w:cs="Arial"/>
                <w:sz w:val="20"/>
                <w:szCs w:val="20"/>
              </w:rPr>
            </w:pPr>
            <w:r w:rsidRPr="004915AB">
              <w:rPr>
                <w:rFonts w:ascii="Arial" w:hAnsi="Arial" w:cs="Arial"/>
                <w:sz w:val="20"/>
                <w:szCs w:val="20"/>
              </w:rPr>
              <w:t>Recommendation Declined.</w:t>
            </w:r>
          </w:p>
          <w:p w:rsidR="00611782" w:rsidRPr="004915AB" w:rsidRDefault="00611782" w:rsidP="00611782">
            <w:pPr>
              <w:rPr>
                <w:rFonts w:ascii="Arial" w:hAnsi="Arial" w:cs="Arial"/>
                <w:sz w:val="20"/>
                <w:szCs w:val="20"/>
              </w:rPr>
            </w:pPr>
          </w:p>
          <w:p w:rsidR="00611782" w:rsidRPr="00CB630A" w:rsidRDefault="00611782" w:rsidP="00611782">
            <w:pPr>
              <w:autoSpaceDE w:val="0"/>
              <w:autoSpaceDN w:val="0"/>
              <w:adjustRightInd w:val="0"/>
              <w:rPr>
                <w:rFonts w:ascii="Arial" w:hAnsi="Arial" w:cs="Arial"/>
                <w:sz w:val="20"/>
                <w:szCs w:val="20"/>
              </w:rPr>
            </w:pPr>
            <w:r w:rsidRPr="004915AB">
              <w:rPr>
                <w:rFonts w:ascii="Arial" w:hAnsi="Arial" w:cs="Arial"/>
                <w:sz w:val="20"/>
                <w:szCs w:val="20"/>
              </w:rPr>
              <w:t>After a specified grace period, filers will be required to use the current version of the form to submit amendments or reports of recurring activity.</w:t>
            </w:r>
          </w:p>
        </w:tc>
        <w:tc>
          <w:tcPr>
            <w:tcW w:w="4292" w:type="dxa"/>
            <w:tcMar>
              <w:left w:w="86" w:type="dxa"/>
              <w:right w:w="86" w:type="dxa"/>
            </w:tcMar>
          </w:tcPr>
          <w:p w:rsidR="00611782" w:rsidRPr="00CB630A" w:rsidRDefault="00611782" w:rsidP="00611782">
            <w:pPr>
              <w:rPr>
                <w:rFonts w:ascii="Arial" w:hAnsi="Arial" w:cs="Arial"/>
                <w:sz w:val="20"/>
                <w:szCs w:val="20"/>
                <w:highlight w:val="yellow"/>
              </w:rPr>
            </w:pPr>
          </w:p>
        </w:tc>
      </w:tr>
      <w:tr w:rsidR="00611782" w:rsidRPr="00CB630A" w:rsidTr="0080583E">
        <w:tc>
          <w:tcPr>
            <w:tcW w:w="780" w:type="dxa"/>
          </w:tcPr>
          <w:p w:rsidR="00611782" w:rsidRPr="0080583E" w:rsidRDefault="00611782" w:rsidP="00611782">
            <w:pPr>
              <w:pStyle w:val="ListParagraph"/>
              <w:numPr>
                <w:ilvl w:val="0"/>
                <w:numId w:val="44"/>
              </w:numPr>
              <w:jc w:val="both"/>
              <w:rPr>
                <w:rFonts w:ascii="Arial" w:hAnsi="Arial" w:cs="Arial"/>
                <w:sz w:val="20"/>
                <w:szCs w:val="20"/>
              </w:rPr>
            </w:pPr>
          </w:p>
        </w:tc>
        <w:tc>
          <w:tcPr>
            <w:tcW w:w="4030" w:type="dxa"/>
            <w:tcMar>
              <w:left w:w="86" w:type="dxa"/>
              <w:right w:w="86" w:type="dxa"/>
            </w:tcMar>
          </w:tcPr>
          <w:p w:rsidR="00611782" w:rsidRDefault="00611782" w:rsidP="00611782">
            <w:pPr>
              <w:autoSpaceDE w:val="0"/>
              <w:autoSpaceDN w:val="0"/>
              <w:adjustRightInd w:val="0"/>
              <w:rPr>
                <w:rFonts w:ascii="Arial" w:hAnsi="Arial" w:cs="Arial"/>
                <w:sz w:val="20"/>
                <w:szCs w:val="20"/>
              </w:rPr>
            </w:pPr>
            <w:r>
              <w:rPr>
                <w:rFonts w:ascii="Arial" w:hAnsi="Arial" w:cs="Arial"/>
                <w:sz w:val="20"/>
                <w:szCs w:val="20"/>
              </w:rPr>
              <w:t>Dollar Limit</w:t>
            </w:r>
          </w:p>
          <w:p w:rsidR="00611782" w:rsidRDefault="00611782" w:rsidP="00611782">
            <w:pPr>
              <w:autoSpaceDE w:val="0"/>
              <w:autoSpaceDN w:val="0"/>
              <w:adjustRightInd w:val="0"/>
              <w:rPr>
                <w:rFonts w:ascii="Arial" w:hAnsi="Arial" w:cs="Arial"/>
                <w:sz w:val="20"/>
                <w:szCs w:val="20"/>
              </w:rPr>
            </w:pPr>
          </w:p>
          <w:p w:rsidR="00611782" w:rsidRPr="00CB630A" w:rsidRDefault="00611782" w:rsidP="00611782">
            <w:pPr>
              <w:autoSpaceDE w:val="0"/>
              <w:autoSpaceDN w:val="0"/>
              <w:adjustRightInd w:val="0"/>
              <w:rPr>
                <w:rFonts w:ascii="Arial" w:hAnsi="Arial" w:cs="Arial"/>
                <w:sz w:val="20"/>
                <w:szCs w:val="20"/>
              </w:rPr>
            </w:pPr>
            <w:r>
              <w:rPr>
                <w:rFonts w:ascii="Arial" w:hAnsi="Arial" w:cs="Arial"/>
                <w:sz w:val="20"/>
                <w:szCs w:val="20"/>
              </w:rPr>
              <w:t>(</w:t>
            </w:r>
            <w:r w:rsidRPr="00CB630A">
              <w:rPr>
                <w:rFonts w:ascii="Arial" w:hAnsi="Arial" w:cs="Arial"/>
                <w:sz w:val="20"/>
                <w:szCs w:val="20"/>
              </w:rPr>
              <w:t>1</w:t>
            </w:r>
            <w:r>
              <w:rPr>
                <w:rFonts w:ascii="Arial" w:hAnsi="Arial" w:cs="Arial"/>
                <w:sz w:val="20"/>
                <w:szCs w:val="20"/>
              </w:rPr>
              <w:t>)</w:t>
            </w:r>
            <w:r w:rsidRPr="00CB630A">
              <w:rPr>
                <w:rFonts w:ascii="Arial" w:hAnsi="Arial" w:cs="Arial"/>
                <w:sz w:val="20"/>
                <w:szCs w:val="20"/>
              </w:rPr>
              <w:t xml:space="preserve"> - We encourage FinCEN to work on legislative and regulatory changes that would ease burdens by raising CR Filing threshold from $10,000 to $20,000. Similarly, the threshold for mandatory suspicious activity report filing should be raised from $5,000 to $10,000 and the threshold for wire transfer reporting should be raised from $3,000 to $6,000. </w:t>
            </w:r>
          </w:p>
          <w:p w:rsidR="00611782" w:rsidRPr="00CB630A" w:rsidRDefault="00611782" w:rsidP="00611782">
            <w:pPr>
              <w:pStyle w:val="ListParagraph"/>
              <w:autoSpaceDE w:val="0"/>
              <w:autoSpaceDN w:val="0"/>
              <w:adjustRightInd w:val="0"/>
              <w:rPr>
                <w:rFonts w:ascii="Arial" w:hAnsi="Arial" w:cs="Arial"/>
                <w:sz w:val="20"/>
                <w:szCs w:val="20"/>
              </w:rPr>
            </w:pPr>
          </w:p>
          <w:p w:rsidR="00611782" w:rsidRPr="00CB630A" w:rsidRDefault="00611782" w:rsidP="00611782">
            <w:pPr>
              <w:pStyle w:val="Default"/>
              <w:rPr>
                <w:rFonts w:ascii="Arial" w:hAnsi="Arial" w:cs="Arial"/>
                <w:color w:val="auto"/>
                <w:sz w:val="20"/>
                <w:szCs w:val="20"/>
              </w:rPr>
            </w:pPr>
            <w:r>
              <w:rPr>
                <w:rFonts w:ascii="Arial" w:hAnsi="Arial" w:cs="Arial"/>
                <w:color w:val="auto"/>
                <w:sz w:val="20"/>
                <w:szCs w:val="20"/>
              </w:rPr>
              <w:t>(</w:t>
            </w:r>
            <w:r w:rsidRPr="00CB630A">
              <w:rPr>
                <w:rFonts w:ascii="Arial" w:hAnsi="Arial" w:cs="Arial"/>
                <w:color w:val="auto"/>
                <w:sz w:val="20"/>
                <w:szCs w:val="20"/>
              </w:rPr>
              <w:t>5</w:t>
            </w:r>
            <w:r>
              <w:rPr>
                <w:rFonts w:ascii="Arial" w:hAnsi="Arial" w:cs="Arial"/>
                <w:color w:val="auto"/>
                <w:sz w:val="20"/>
                <w:szCs w:val="20"/>
              </w:rPr>
              <w:t>)</w:t>
            </w:r>
            <w:r w:rsidRPr="00CB630A">
              <w:rPr>
                <w:rFonts w:ascii="Arial" w:hAnsi="Arial" w:cs="Arial"/>
                <w:color w:val="auto"/>
                <w:sz w:val="20"/>
                <w:szCs w:val="20"/>
              </w:rPr>
              <w:t xml:space="preserve"> -  We support increasing the CTR threshold from the $10,000 level established decades ago to $20,000 and at least doubling other key thresholds, such as the $3,000 trigger for reporting wire transfers and $5,000 threshold for filing a SAR. In addition, credit unions support ways to improve and reduce the reporting of SARs and CTRs that have limited usefulness to law enforcement.</w:t>
            </w:r>
          </w:p>
          <w:p w:rsidR="00611782" w:rsidRPr="00CB630A" w:rsidRDefault="00611782" w:rsidP="00611782">
            <w:pPr>
              <w:autoSpaceDE w:val="0"/>
              <w:autoSpaceDN w:val="0"/>
              <w:adjustRightInd w:val="0"/>
              <w:rPr>
                <w:rFonts w:ascii="Arial" w:hAnsi="Arial" w:cs="Arial"/>
                <w:sz w:val="20"/>
                <w:szCs w:val="20"/>
              </w:rPr>
            </w:pPr>
          </w:p>
          <w:p w:rsidR="00611782" w:rsidRPr="00CB630A" w:rsidRDefault="00611782" w:rsidP="00611782">
            <w:pPr>
              <w:autoSpaceDE w:val="0"/>
              <w:autoSpaceDN w:val="0"/>
              <w:adjustRightInd w:val="0"/>
              <w:rPr>
                <w:rFonts w:ascii="Arial" w:hAnsi="Arial" w:cs="Arial"/>
                <w:sz w:val="20"/>
                <w:szCs w:val="20"/>
              </w:rPr>
            </w:pPr>
            <w:r>
              <w:rPr>
                <w:rFonts w:ascii="Arial" w:hAnsi="Arial" w:cs="Arial"/>
                <w:sz w:val="20"/>
                <w:szCs w:val="20"/>
              </w:rPr>
              <w:t xml:space="preserve">(6) - </w:t>
            </w:r>
            <w:r w:rsidRPr="00CB630A">
              <w:rPr>
                <w:rFonts w:ascii="Arial" w:hAnsi="Arial" w:cs="Arial"/>
                <w:sz w:val="20"/>
                <w:szCs w:val="20"/>
              </w:rPr>
              <w:t xml:space="preserve">FinCEN, and law enforcement) would benefit from a higher CTR reporting threshold of $20,000 and at least a threshold of double the current record keeping and reporting requirements of $3,000 for records of monetary instruments purchased and wire transfers, and the </w:t>
            </w:r>
            <w:r w:rsidRPr="00CB630A">
              <w:rPr>
                <w:rFonts w:ascii="Arial" w:hAnsi="Arial" w:cs="Arial"/>
                <w:sz w:val="20"/>
                <w:szCs w:val="20"/>
              </w:rPr>
              <w:lastRenderedPageBreak/>
              <w:t xml:space="preserve">$5,000 and $25,000 thresholds for filing Suspicious Activity Reports. These requirements were established decades ago, outdated, and should be updated.  </w:t>
            </w:r>
          </w:p>
        </w:tc>
        <w:tc>
          <w:tcPr>
            <w:tcW w:w="1062" w:type="dxa"/>
            <w:tcMar>
              <w:left w:w="86" w:type="dxa"/>
              <w:right w:w="86" w:type="dxa"/>
            </w:tcMar>
          </w:tcPr>
          <w:p w:rsidR="00611782" w:rsidRPr="00CB630A" w:rsidRDefault="00611782" w:rsidP="00611782">
            <w:pPr>
              <w:rPr>
                <w:rFonts w:ascii="Arial" w:hAnsi="Arial" w:cs="Arial"/>
                <w:sz w:val="20"/>
                <w:szCs w:val="20"/>
              </w:rPr>
            </w:pPr>
            <w:r>
              <w:rPr>
                <w:rFonts w:ascii="Arial" w:hAnsi="Arial" w:cs="Arial"/>
                <w:sz w:val="20"/>
                <w:szCs w:val="20"/>
              </w:rPr>
              <w:lastRenderedPageBreak/>
              <w:t>4/2016</w:t>
            </w:r>
          </w:p>
        </w:tc>
        <w:tc>
          <w:tcPr>
            <w:tcW w:w="4236" w:type="dxa"/>
            <w:tcMar>
              <w:left w:w="86" w:type="dxa"/>
              <w:right w:w="86" w:type="dxa"/>
            </w:tcMar>
          </w:tcPr>
          <w:p w:rsidR="00611782" w:rsidRPr="00CB630A" w:rsidRDefault="00611782" w:rsidP="00611782">
            <w:pPr>
              <w:autoSpaceDE w:val="0"/>
              <w:autoSpaceDN w:val="0"/>
              <w:adjustRightInd w:val="0"/>
              <w:rPr>
                <w:rFonts w:ascii="Arial" w:hAnsi="Arial" w:cs="Arial"/>
                <w:sz w:val="20"/>
                <w:szCs w:val="20"/>
              </w:rPr>
            </w:pPr>
            <w:r w:rsidRPr="00CB630A">
              <w:rPr>
                <w:rFonts w:ascii="Arial" w:hAnsi="Arial" w:cs="Arial"/>
                <w:sz w:val="20"/>
                <w:szCs w:val="20"/>
              </w:rPr>
              <w:t>No Action Required</w:t>
            </w:r>
          </w:p>
          <w:p w:rsidR="00611782" w:rsidRPr="00CB630A" w:rsidRDefault="00611782" w:rsidP="00611782">
            <w:pPr>
              <w:autoSpaceDE w:val="0"/>
              <w:autoSpaceDN w:val="0"/>
              <w:adjustRightInd w:val="0"/>
              <w:rPr>
                <w:rFonts w:ascii="Arial" w:hAnsi="Arial" w:cs="Arial"/>
                <w:sz w:val="20"/>
                <w:szCs w:val="20"/>
              </w:rPr>
            </w:pPr>
          </w:p>
          <w:p w:rsidR="00611782" w:rsidRDefault="00611782" w:rsidP="00611782">
            <w:pPr>
              <w:rPr>
                <w:rFonts w:ascii="Arial" w:hAnsi="Arial" w:cs="Arial"/>
                <w:sz w:val="20"/>
                <w:szCs w:val="20"/>
              </w:rPr>
            </w:pPr>
            <w:r w:rsidRPr="00CB630A">
              <w:rPr>
                <w:rFonts w:ascii="Arial" w:hAnsi="Arial" w:cs="Arial"/>
                <w:sz w:val="20"/>
                <w:szCs w:val="20"/>
              </w:rPr>
              <w:t xml:space="preserve">The request for public comment that was issued does not alter the requirements for reporting a Currency Transaction Report; it requests comments on the data elements collected for a reported currency transaction report. </w:t>
            </w:r>
          </w:p>
          <w:p w:rsidR="00611782" w:rsidRDefault="00611782" w:rsidP="00611782">
            <w:pPr>
              <w:rPr>
                <w:rFonts w:ascii="Arial" w:hAnsi="Arial" w:cs="Arial"/>
                <w:sz w:val="20"/>
                <w:szCs w:val="20"/>
              </w:rPr>
            </w:pPr>
          </w:p>
          <w:p w:rsidR="00611782" w:rsidRPr="00CB630A" w:rsidRDefault="00611782" w:rsidP="00611782">
            <w:pPr>
              <w:rPr>
                <w:rFonts w:ascii="Arial" w:hAnsi="Arial" w:cs="Arial"/>
                <w:sz w:val="20"/>
                <w:szCs w:val="20"/>
              </w:rPr>
            </w:pPr>
            <w:r>
              <w:rPr>
                <w:rFonts w:ascii="Arial" w:hAnsi="Arial" w:cs="Arial"/>
                <w:sz w:val="20"/>
                <w:szCs w:val="20"/>
              </w:rPr>
              <w:t xml:space="preserve">In order to change the reporting thresholds would be a major rule making that goes beyond the scope of these changes. </w:t>
            </w:r>
          </w:p>
        </w:tc>
        <w:tc>
          <w:tcPr>
            <w:tcW w:w="4292" w:type="dxa"/>
            <w:tcMar>
              <w:left w:w="86" w:type="dxa"/>
              <w:right w:w="86" w:type="dxa"/>
            </w:tcMar>
          </w:tcPr>
          <w:p w:rsidR="00611782" w:rsidRPr="00CB630A" w:rsidRDefault="00611782" w:rsidP="00611782">
            <w:pPr>
              <w:rPr>
                <w:rFonts w:ascii="Arial" w:hAnsi="Arial" w:cs="Arial"/>
                <w:sz w:val="20"/>
                <w:szCs w:val="20"/>
                <w:highlight w:val="yellow"/>
              </w:rPr>
            </w:pPr>
          </w:p>
        </w:tc>
      </w:tr>
      <w:tr w:rsidR="00611782" w:rsidRPr="00CB630A" w:rsidTr="0080583E">
        <w:tc>
          <w:tcPr>
            <w:tcW w:w="780" w:type="dxa"/>
          </w:tcPr>
          <w:p w:rsidR="00611782" w:rsidRPr="0080583E" w:rsidRDefault="00611782" w:rsidP="00611782">
            <w:pPr>
              <w:pStyle w:val="ListParagraph"/>
              <w:numPr>
                <w:ilvl w:val="0"/>
                <w:numId w:val="44"/>
              </w:numPr>
              <w:jc w:val="both"/>
              <w:rPr>
                <w:rFonts w:ascii="Arial" w:hAnsi="Arial" w:cs="Arial"/>
                <w:sz w:val="20"/>
                <w:szCs w:val="20"/>
              </w:rPr>
            </w:pPr>
          </w:p>
        </w:tc>
        <w:tc>
          <w:tcPr>
            <w:tcW w:w="4030" w:type="dxa"/>
            <w:tcMar>
              <w:left w:w="86" w:type="dxa"/>
              <w:right w:w="86" w:type="dxa"/>
            </w:tcMar>
          </w:tcPr>
          <w:p w:rsidR="00611782" w:rsidRDefault="00611782" w:rsidP="00611782">
            <w:pPr>
              <w:pStyle w:val="Default"/>
              <w:rPr>
                <w:rFonts w:ascii="Arial" w:hAnsi="Arial" w:cs="Arial"/>
                <w:color w:val="auto"/>
                <w:sz w:val="20"/>
                <w:szCs w:val="20"/>
              </w:rPr>
            </w:pPr>
            <w:r>
              <w:rPr>
                <w:rFonts w:ascii="Arial" w:hAnsi="Arial" w:cs="Arial"/>
                <w:color w:val="auto"/>
                <w:sz w:val="20"/>
                <w:szCs w:val="20"/>
              </w:rPr>
              <w:t xml:space="preserve">Burden </w:t>
            </w:r>
          </w:p>
          <w:p w:rsidR="00611782" w:rsidRDefault="00611782" w:rsidP="00611782">
            <w:pPr>
              <w:pStyle w:val="Default"/>
              <w:rPr>
                <w:rFonts w:ascii="Arial" w:hAnsi="Arial" w:cs="Arial"/>
                <w:color w:val="auto"/>
                <w:sz w:val="20"/>
                <w:szCs w:val="20"/>
              </w:rPr>
            </w:pPr>
          </w:p>
          <w:p w:rsidR="00611782" w:rsidRPr="00CB630A" w:rsidRDefault="00611782" w:rsidP="00611782">
            <w:pPr>
              <w:pStyle w:val="Default"/>
              <w:rPr>
                <w:rFonts w:ascii="Arial" w:hAnsi="Arial" w:cs="Arial"/>
                <w:color w:val="auto"/>
                <w:sz w:val="20"/>
                <w:szCs w:val="20"/>
              </w:rPr>
            </w:pPr>
            <w:r>
              <w:rPr>
                <w:rFonts w:ascii="Arial" w:hAnsi="Arial" w:cs="Arial"/>
                <w:sz w:val="20"/>
                <w:szCs w:val="20"/>
              </w:rPr>
              <w:t>(</w:t>
            </w:r>
            <w:r w:rsidRPr="00CB630A">
              <w:rPr>
                <w:rFonts w:ascii="Arial" w:hAnsi="Arial" w:cs="Arial"/>
                <w:sz w:val="20"/>
                <w:szCs w:val="20"/>
              </w:rPr>
              <w:t>8</w:t>
            </w:r>
            <w:r>
              <w:rPr>
                <w:rFonts w:ascii="Arial" w:hAnsi="Arial" w:cs="Arial"/>
                <w:sz w:val="20"/>
                <w:szCs w:val="20"/>
              </w:rPr>
              <w:t>)</w:t>
            </w:r>
            <w:r w:rsidRPr="00CB630A">
              <w:rPr>
                <w:rFonts w:ascii="Arial" w:hAnsi="Arial" w:cs="Arial"/>
                <w:sz w:val="20"/>
                <w:szCs w:val="20"/>
              </w:rPr>
              <w:t xml:space="preserve"> - The Proposed Revisions are Likely to Impose Significant Burdens on Financial Institutions</w:t>
            </w:r>
          </w:p>
        </w:tc>
        <w:tc>
          <w:tcPr>
            <w:tcW w:w="1062" w:type="dxa"/>
            <w:tcMar>
              <w:left w:w="86" w:type="dxa"/>
              <w:right w:w="86" w:type="dxa"/>
            </w:tcMar>
          </w:tcPr>
          <w:p w:rsidR="00611782" w:rsidRPr="00CB630A" w:rsidRDefault="00611782" w:rsidP="00611782">
            <w:pPr>
              <w:rPr>
                <w:rFonts w:ascii="Arial" w:hAnsi="Arial" w:cs="Arial"/>
                <w:sz w:val="20"/>
                <w:szCs w:val="20"/>
              </w:rPr>
            </w:pPr>
            <w:r>
              <w:rPr>
                <w:rFonts w:ascii="Arial" w:hAnsi="Arial" w:cs="Arial"/>
                <w:sz w:val="20"/>
                <w:szCs w:val="20"/>
              </w:rPr>
              <w:t>4/2016</w:t>
            </w:r>
          </w:p>
        </w:tc>
        <w:tc>
          <w:tcPr>
            <w:tcW w:w="4236" w:type="dxa"/>
            <w:tcMar>
              <w:left w:w="86" w:type="dxa"/>
              <w:right w:w="86" w:type="dxa"/>
            </w:tcMar>
          </w:tcPr>
          <w:p w:rsidR="00611782" w:rsidRPr="00CB630A" w:rsidRDefault="00611782" w:rsidP="00611782">
            <w:pPr>
              <w:rPr>
                <w:rFonts w:ascii="Arial" w:hAnsi="Arial" w:cs="Arial"/>
                <w:sz w:val="20"/>
                <w:szCs w:val="20"/>
              </w:rPr>
            </w:pPr>
            <w:r w:rsidRPr="00CB630A">
              <w:rPr>
                <w:rFonts w:ascii="Arial" w:hAnsi="Arial" w:cs="Arial"/>
                <w:sz w:val="20"/>
                <w:szCs w:val="20"/>
              </w:rPr>
              <w:t>Recommendations noted.</w:t>
            </w:r>
          </w:p>
          <w:p w:rsidR="00611782" w:rsidRPr="00CB630A" w:rsidRDefault="00611782" w:rsidP="00611782">
            <w:pPr>
              <w:rPr>
                <w:rFonts w:ascii="Arial" w:hAnsi="Arial" w:cs="Arial"/>
                <w:sz w:val="20"/>
                <w:szCs w:val="20"/>
              </w:rPr>
            </w:pPr>
          </w:p>
          <w:p w:rsidR="00611782" w:rsidRPr="00CB630A" w:rsidRDefault="00611782" w:rsidP="00611782">
            <w:pPr>
              <w:rPr>
                <w:rFonts w:ascii="Arial" w:hAnsi="Arial" w:cs="Arial"/>
                <w:sz w:val="20"/>
                <w:szCs w:val="20"/>
              </w:rPr>
            </w:pPr>
            <w:r w:rsidRPr="00CB630A">
              <w:rPr>
                <w:rFonts w:ascii="Arial" w:hAnsi="Arial" w:cs="Arial"/>
                <w:sz w:val="20"/>
                <w:szCs w:val="20"/>
              </w:rPr>
              <w:t>This is a dynamic form that is designed to facilitate a th</w:t>
            </w:r>
            <w:r>
              <w:rPr>
                <w:rFonts w:ascii="Arial" w:hAnsi="Arial" w:cs="Arial"/>
                <w:sz w:val="20"/>
                <w:szCs w:val="20"/>
              </w:rPr>
              <w:t>o</w:t>
            </w:r>
            <w:r w:rsidRPr="00CB630A">
              <w:rPr>
                <w:rFonts w:ascii="Arial" w:hAnsi="Arial" w:cs="Arial"/>
                <w:sz w:val="20"/>
                <w:szCs w:val="20"/>
              </w:rPr>
              <w:t xml:space="preserve">rough but prompt report. </w:t>
            </w:r>
          </w:p>
          <w:p w:rsidR="00611782" w:rsidRPr="00CB630A" w:rsidRDefault="00611782" w:rsidP="00611782">
            <w:pPr>
              <w:rPr>
                <w:rFonts w:ascii="Arial" w:hAnsi="Arial" w:cs="Arial"/>
                <w:sz w:val="20"/>
                <w:szCs w:val="20"/>
              </w:rPr>
            </w:pPr>
          </w:p>
          <w:p w:rsidR="00611782" w:rsidRPr="00CB630A" w:rsidRDefault="00611782" w:rsidP="00611782">
            <w:pPr>
              <w:rPr>
                <w:rFonts w:ascii="Arial" w:hAnsi="Arial" w:cs="Arial"/>
                <w:sz w:val="20"/>
                <w:szCs w:val="20"/>
              </w:rPr>
            </w:pPr>
            <w:r w:rsidRPr="00CB630A">
              <w:rPr>
                <w:rFonts w:ascii="Arial" w:hAnsi="Arial" w:cs="Arial"/>
                <w:sz w:val="20"/>
                <w:szCs w:val="20"/>
              </w:rPr>
              <w:t>The time estimate does not take into account the internal business practices of the filing institution. The time estimate accounts for the time to file a report plus an appropriate amount of time for recordkeeping.</w:t>
            </w:r>
          </w:p>
          <w:p w:rsidR="00611782" w:rsidRPr="00CB630A" w:rsidRDefault="00611782" w:rsidP="00611782">
            <w:pPr>
              <w:rPr>
                <w:rFonts w:ascii="Arial" w:hAnsi="Arial" w:cs="Arial"/>
                <w:sz w:val="20"/>
                <w:szCs w:val="20"/>
              </w:rPr>
            </w:pPr>
          </w:p>
          <w:p w:rsidR="00611782" w:rsidRDefault="00611782" w:rsidP="00611782">
            <w:pPr>
              <w:rPr>
                <w:rFonts w:ascii="Arial" w:hAnsi="Arial" w:cs="Arial"/>
                <w:sz w:val="20"/>
                <w:szCs w:val="20"/>
              </w:rPr>
            </w:pPr>
            <w:r>
              <w:rPr>
                <w:rFonts w:ascii="Arial" w:hAnsi="Arial" w:cs="Arial"/>
                <w:sz w:val="20"/>
                <w:szCs w:val="20"/>
              </w:rPr>
              <w:t xml:space="preserve">The current CTR burden was increased by 5 minutes to account for the minimal additional reporting. </w:t>
            </w:r>
          </w:p>
          <w:p w:rsidR="00611782" w:rsidRPr="00CB630A" w:rsidRDefault="00611782" w:rsidP="00611782">
            <w:pPr>
              <w:rPr>
                <w:rFonts w:ascii="Arial" w:hAnsi="Arial" w:cs="Arial"/>
                <w:sz w:val="20"/>
                <w:szCs w:val="20"/>
              </w:rPr>
            </w:pPr>
          </w:p>
        </w:tc>
        <w:tc>
          <w:tcPr>
            <w:tcW w:w="4292" w:type="dxa"/>
            <w:tcMar>
              <w:left w:w="86" w:type="dxa"/>
              <w:right w:w="86" w:type="dxa"/>
            </w:tcMar>
          </w:tcPr>
          <w:p w:rsidR="00611782" w:rsidRPr="00CB630A" w:rsidRDefault="00611782" w:rsidP="00611782">
            <w:pPr>
              <w:rPr>
                <w:rFonts w:ascii="Arial" w:hAnsi="Arial" w:cs="Arial"/>
                <w:sz w:val="20"/>
                <w:szCs w:val="20"/>
                <w:highlight w:val="yellow"/>
              </w:rPr>
            </w:pPr>
          </w:p>
        </w:tc>
      </w:tr>
      <w:bookmarkEnd w:id="0"/>
    </w:tbl>
    <w:p w:rsidR="00E65B7C" w:rsidRDefault="00E65B7C" w:rsidP="00453377"/>
    <w:p w:rsidR="009A1E5D" w:rsidRDefault="009A1E5D" w:rsidP="00453377"/>
    <w:tbl>
      <w:tblPr>
        <w:tblW w:w="14460" w:type="dxa"/>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9" w:type="dxa"/>
          <w:left w:w="115" w:type="dxa"/>
          <w:bottom w:w="29" w:type="dxa"/>
          <w:right w:w="115" w:type="dxa"/>
        </w:tblCellMar>
        <w:tblLook w:val="04A0" w:firstRow="1" w:lastRow="0" w:firstColumn="1" w:lastColumn="0" w:noHBand="0" w:noVBand="1"/>
      </w:tblPr>
      <w:tblGrid>
        <w:gridCol w:w="660"/>
        <w:gridCol w:w="13800"/>
      </w:tblGrid>
      <w:tr w:rsidR="009A1E5D" w:rsidRPr="00DA49A8" w:rsidTr="009A1E5D">
        <w:trPr>
          <w:cantSplit/>
          <w:tblHeader/>
        </w:trPr>
        <w:tc>
          <w:tcPr>
            <w:tcW w:w="660" w:type="dxa"/>
            <w:shd w:val="clear" w:color="auto" w:fill="CCCCFF"/>
          </w:tcPr>
          <w:p w:rsidR="009A1E5D" w:rsidRPr="00DA49A8" w:rsidRDefault="009A1E5D" w:rsidP="00664374">
            <w:pPr>
              <w:jc w:val="center"/>
              <w:rPr>
                <w:rFonts w:ascii="Arial" w:hAnsi="Arial" w:cs="Arial"/>
                <w:b/>
                <w:sz w:val="20"/>
                <w:szCs w:val="20"/>
              </w:rPr>
            </w:pPr>
          </w:p>
        </w:tc>
        <w:tc>
          <w:tcPr>
            <w:tcW w:w="13800" w:type="dxa"/>
            <w:shd w:val="clear" w:color="auto" w:fill="CCCCFF"/>
          </w:tcPr>
          <w:p w:rsidR="009A1E5D" w:rsidRPr="00DA49A8" w:rsidRDefault="009A1E5D" w:rsidP="009A1E5D">
            <w:pPr>
              <w:rPr>
                <w:rFonts w:ascii="Arial" w:hAnsi="Arial" w:cs="Arial"/>
                <w:b/>
                <w:sz w:val="20"/>
                <w:szCs w:val="20"/>
              </w:rPr>
            </w:pPr>
            <w:r w:rsidRPr="00DA49A8">
              <w:rPr>
                <w:rFonts w:ascii="Arial" w:hAnsi="Arial" w:cs="Arial"/>
                <w:b/>
                <w:sz w:val="20"/>
                <w:szCs w:val="20"/>
              </w:rPr>
              <w:t>Notes (e.g. clarification, feedback not requiring disposition)</w:t>
            </w:r>
          </w:p>
        </w:tc>
      </w:tr>
      <w:tr w:rsidR="009A1E5D" w:rsidRPr="00DA49A8" w:rsidTr="005269C9">
        <w:trPr>
          <w:cantSplit/>
          <w:trHeight w:val="393"/>
        </w:trPr>
        <w:tc>
          <w:tcPr>
            <w:tcW w:w="660" w:type="dxa"/>
          </w:tcPr>
          <w:p w:rsidR="009A1E5D" w:rsidRPr="00DA49A8" w:rsidRDefault="009A1E5D" w:rsidP="009A1E5D">
            <w:pPr>
              <w:pStyle w:val="ListParagraph"/>
              <w:numPr>
                <w:ilvl w:val="0"/>
                <w:numId w:val="7"/>
              </w:numPr>
              <w:rPr>
                <w:rFonts w:ascii="Arial" w:hAnsi="Arial" w:cs="Arial"/>
                <w:sz w:val="20"/>
                <w:szCs w:val="20"/>
              </w:rPr>
            </w:pPr>
          </w:p>
        </w:tc>
        <w:tc>
          <w:tcPr>
            <w:tcW w:w="13800" w:type="dxa"/>
            <w:tcMar>
              <w:left w:w="86" w:type="dxa"/>
              <w:right w:w="86" w:type="dxa"/>
            </w:tcMar>
          </w:tcPr>
          <w:p w:rsidR="009A1E5D" w:rsidRPr="00DA49A8" w:rsidRDefault="009A1E5D" w:rsidP="004A3240">
            <w:pPr>
              <w:autoSpaceDE w:val="0"/>
              <w:autoSpaceDN w:val="0"/>
              <w:adjustRightInd w:val="0"/>
              <w:rPr>
                <w:rFonts w:ascii="Arial" w:hAnsi="Arial" w:cs="Arial"/>
                <w:sz w:val="20"/>
                <w:szCs w:val="20"/>
              </w:rPr>
            </w:pPr>
          </w:p>
        </w:tc>
      </w:tr>
      <w:tr w:rsidR="009A1E5D" w:rsidRPr="00DA49A8" w:rsidTr="009A1E5D">
        <w:trPr>
          <w:cantSplit/>
        </w:trPr>
        <w:tc>
          <w:tcPr>
            <w:tcW w:w="660" w:type="dxa"/>
          </w:tcPr>
          <w:p w:rsidR="009A1E5D" w:rsidRPr="00DA49A8" w:rsidRDefault="009A1E5D" w:rsidP="00664374">
            <w:pPr>
              <w:pStyle w:val="ListParagraph"/>
              <w:numPr>
                <w:ilvl w:val="0"/>
                <w:numId w:val="7"/>
              </w:numPr>
              <w:rPr>
                <w:rFonts w:ascii="Arial" w:hAnsi="Arial" w:cs="Arial"/>
                <w:sz w:val="20"/>
                <w:szCs w:val="20"/>
              </w:rPr>
            </w:pPr>
          </w:p>
        </w:tc>
        <w:tc>
          <w:tcPr>
            <w:tcW w:w="13800" w:type="dxa"/>
            <w:tcMar>
              <w:left w:w="86" w:type="dxa"/>
              <w:right w:w="86" w:type="dxa"/>
            </w:tcMar>
          </w:tcPr>
          <w:p w:rsidR="009A1E5D" w:rsidRPr="00DA49A8" w:rsidRDefault="009A1E5D" w:rsidP="004A3240">
            <w:pPr>
              <w:rPr>
                <w:rFonts w:ascii="Arial" w:hAnsi="Arial" w:cs="Arial"/>
                <w:sz w:val="20"/>
                <w:szCs w:val="20"/>
              </w:rPr>
            </w:pPr>
          </w:p>
        </w:tc>
      </w:tr>
      <w:tr w:rsidR="009A1E5D" w:rsidRPr="00DA49A8" w:rsidTr="009A1E5D">
        <w:trPr>
          <w:cantSplit/>
        </w:trPr>
        <w:tc>
          <w:tcPr>
            <w:tcW w:w="660" w:type="dxa"/>
          </w:tcPr>
          <w:p w:rsidR="009A1E5D" w:rsidRPr="00DA49A8" w:rsidRDefault="009A1E5D" w:rsidP="00664374">
            <w:pPr>
              <w:pStyle w:val="ListParagraph"/>
              <w:numPr>
                <w:ilvl w:val="0"/>
                <w:numId w:val="7"/>
              </w:numPr>
              <w:rPr>
                <w:rFonts w:ascii="Arial" w:hAnsi="Arial" w:cs="Arial"/>
                <w:sz w:val="20"/>
                <w:szCs w:val="20"/>
              </w:rPr>
            </w:pPr>
          </w:p>
        </w:tc>
        <w:tc>
          <w:tcPr>
            <w:tcW w:w="13800" w:type="dxa"/>
            <w:tcMar>
              <w:left w:w="86" w:type="dxa"/>
              <w:right w:w="86" w:type="dxa"/>
            </w:tcMar>
          </w:tcPr>
          <w:p w:rsidR="009A1E5D" w:rsidRPr="00DA49A8" w:rsidRDefault="009A1E5D" w:rsidP="00230B5D">
            <w:pPr>
              <w:rPr>
                <w:rFonts w:ascii="Arial" w:hAnsi="Arial" w:cs="Arial"/>
                <w:sz w:val="20"/>
                <w:szCs w:val="20"/>
              </w:rPr>
            </w:pPr>
          </w:p>
        </w:tc>
      </w:tr>
      <w:tr w:rsidR="009A1E5D" w:rsidRPr="00DA49A8" w:rsidTr="009A1E5D">
        <w:trPr>
          <w:cantSplit/>
        </w:trPr>
        <w:tc>
          <w:tcPr>
            <w:tcW w:w="660" w:type="dxa"/>
          </w:tcPr>
          <w:p w:rsidR="009A1E5D" w:rsidRPr="00DA49A8" w:rsidRDefault="009A1E5D" w:rsidP="00664374">
            <w:pPr>
              <w:pStyle w:val="ListParagraph"/>
              <w:numPr>
                <w:ilvl w:val="0"/>
                <w:numId w:val="7"/>
              </w:numPr>
              <w:rPr>
                <w:rFonts w:ascii="Arial" w:hAnsi="Arial" w:cs="Arial"/>
                <w:sz w:val="20"/>
                <w:szCs w:val="20"/>
              </w:rPr>
            </w:pPr>
          </w:p>
        </w:tc>
        <w:tc>
          <w:tcPr>
            <w:tcW w:w="13800" w:type="dxa"/>
            <w:tcMar>
              <w:left w:w="86" w:type="dxa"/>
              <w:right w:w="86" w:type="dxa"/>
            </w:tcMar>
          </w:tcPr>
          <w:p w:rsidR="009A1E5D" w:rsidRPr="00DA49A8" w:rsidRDefault="009A1E5D" w:rsidP="00664374">
            <w:pPr>
              <w:rPr>
                <w:rFonts w:ascii="Arial" w:hAnsi="Arial" w:cs="Arial"/>
                <w:sz w:val="20"/>
                <w:szCs w:val="20"/>
              </w:rPr>
            </w:pPr>
          </w:p>
        </w:tc>
      </w:tr>
      <w:tr w:rsidR="009A1E5D" w:rsidRPr="00DA49A8" w:rsidTr="009A1E5D">
        <w:trPr>
          <w:cantSplit/>
        </w:trPr>
        <w:tc>
          <w:tcPr>
            <w:tcW w:w="660" w:type="dxa"/>
          </w:tcPr>
          <w:p w:rsidR="009A1E5D" w:rsidRPr="00DA49A8" w:rsidRDefault="009A1E5D" w:rsidP="00664374">
            <w:pPr>
              <w:pStyle w:val="ListParagraph"/>
              <w:numPr>
                <w:ilvl w:val="0"/>
                <w:numId w:val="7"/>
              </w:numPr>
              <w:rPr>
                <w:rFonts w:ascii="Arial" w:hAnsi="Arial" w:cs="Arial"/>
                <w:sz w:val="20"/>
                <w:szCs w:val="20"/>
              </w:rPr>
            </w:pPr>
          </w:p>
        </w:tc>
        <w:tc>
          <w:tcPr>
            <w:tcW w:w="13800" w:type="dxa"/>
            <w:tcMar>
              <w:left w:w="86" w:type="dxa"/>
              <w:right w:w="86" w:type="dxa"/>
            </w:tcMar>
          </w:tcPr>
          <w:p w:rsidR="009A1E5D" w:rsidRPr="00DA49A8" w:rsidRDefault="009A1E5D" w:rsidP="001350F7">
            <w:pPr>
              <w:autoSpaceDE w:val="0"/>
              <w:autoSpaceDN w:val="0"/>
              <w:adjustRightInd w:val="0"/>
              <w:rPr>
                <w:rFonts w:ascii="Arial" w:hAnsi="Arial" w:cs="Arial"/>
                <w:sz w:val="20"/>
                <w:szCs w:val="20"/>
              </w:rPr>
            </w:pPr>
          </w:p>
        </w:tc>
      </w:tr>
    </w:tbl>
    <w:p w:rsidR="009A1E5D" w:rsidRPr="00BD7795" w:rsidRDefault="009A1E5D" w:rsidP="00453377"/>
    <w:sectPr w:rsidR="009A1E5D" w:rsidRPr="00BD7795" w:rsidSect="00FF6928">
      <w:headerReference w:type="even" r:id="rId8"/>
      <w:headerReference w:type="default" r:id="rId9"/>
      <w:footerReference w:type="even" r:id="rId10"/>
      <w:footerReference w:type="default" r:id="rId11"/>
      <w:headerReference w:type="first" r:id="rId12"/>
      <w:footerReference w:type="first" r:id="rId13"/>
      <w:pgSz w:w="15840" w:h="12240" w:orient="landscape"/>
      <w:pgMar w:top="1080" w:right="1440" w:bottom="1440" w:left="720" w:header="450" w:footer="57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5252" w:rsidRDefault="00965252" w:rsidP="00383C31">
      <w:r>
        <w:separator/>
      </w:r>
    </w:p>
  </w:endnote>
  <w:endnote w:type="continuationSeparator" w:id="0">
    <w:p w:rsidR="00965252" w:rsidRDefault="00965252" w:rsidP="00383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1CDE" w:rsidRDefault="00D81CD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73B5" w:rsidRPr="00E65B7C" w:rsidRDefault="00E473B5">
    <w:pPr>
      <w:pStyle w:val="Footer"/>
      <w:rPr>
        <w:rFonts w:ascii="Arial" w:hAnsi="Arial" w:cs="Arial"/>
        <w:b/>
        <w:sz w:val="20"/>
        <w:szCs w:val="20"/>
      </w:rPr>
    </w:pPr>
    <w:r w:rsidRPr="00E65B7C">
      <w:rPr>
        <w:rFonts w:ascii="Arial" w:hAnsi="Arial" w:cs="Arial"/>
        <w:b/>
        <w:sz w:val="20"/>
        <w:szCs w:val="20"/>
      </w:rPr>
      <w:t xml:space="preserve">Page </w:t>
    </w:r>
    <w:r w:rsidR="001E16D8" w:rsidRPr="00E65B7C">
      <w:rPr>
        <w:rFonts w:ascii="Arial" w:hAnsi="Arial" w:cs="Arial"/>
        <w:b/>
        <w:sz w:val="20"/>
        <w:szCs w:val="20"/>
      </w:rPr>
      <w:fldChar w:fldCharType="begin"/>
    </w:r>
    <w:r w:rsidRPr="00E65B7C">
      <w:rPr>
        <w:rFonts w:ascii="Arial" w:hAnsi="Arial" w:cs="Arial"/>
        <w:b/>
        <w:sz w:val="20"/>
        <w:szCs w:val="20"/>
      </w:rPr>
      <w:instrText xml:space="preserve"> PAGE   \* MERGEFORMAT </w:instrText>
    </w:r>
    <w:r w:rsidR="001E16D8" w:rsidRPr="00E65B7C">
      <w:rPr>
        <w:rFonts w:ascii="Arial" w:hAnsi="Arial" w:cs="Arial"/>
        <w:b/>
        <w:sz w:val="20"/>
        <w:szCs w:val="20"/>
      </w:rPr>
      <w:fldChar w:fldCharType="separate"/>
    </w:r>
    <w:r w:rsidR="00075C0A">
      <w:rPr>
        <w:rFonts w:ascii="Arial" w:hAnsi="Arial" w:cs="Arial"/>
        <w:b/>
        <w:noProof/>
        <w:sz w:val="20"/>
        <w:szCs w:val="20"/>
      </w:rPr>
      <w:t>11</w:t>
    </w:r>
    <w:r w:rsidR="001E16D8" w:rsidRPr="00E65B7C">
      <w:rPr>
        <w:rFonts w:ascii="Arial" w:hAnsi="Arial" w:cs="Arial"/>
        <w:b/>
        <w:sz w:val="20"/>
        <w:szCs w:val="20"/>
      </w:rPr>
      <w:fldChar w:fldCharType="end"/>
    </w:r>
    <w:r w:rsidRPr="00E65B7C">
      <w:rPr>
        <w:rFonts w:ascii="Arial" w:hAnsi="Arial" w:cs="Arial"/>
        <w:b/>
        <w:sz w:val="20"/>
        <w:szCs w:val="20"/>
      </w:rPr>
      <w:t xml:space="preserve"> of </w:t>
    </w:r>
    <w:fldSimple w:instr=" NUMPAGES   \* MERGEFORMAT ">
      <w:r w:rsidR="00075C0A" w:rsidRPr="00075C0A">
        <w:rPr>
          <w:rFonts w:ascii="Arial" w:hAnsi="Arial" w:cs="Arial"/>
          <w:b/>
          <w:noProof/>
          <w:sz w:val="20"/>
          <w:szCs w:val="20"/>
        </w:rPr>
        <w:t>11</w:t>
      </w:r>
    </w:fldSimple>
  </w:p>
  <w:p w:rsidR="00E473B5" w:rsidRPr="008C392A" w:rsidRDefault="002D13AD" w:rsidP="00E65B7C">
    <w:pPr>
      <w:pStyle w:val="Footer"/>
      <w:tabs>
        <w:tab w:val="clear" w:pos="4680"/>
        <w:tab w:val="clear" w:pos="9360"/>
      </w:tabs>
      <w:jc w:val="left"/>
      <w:rPr>
        <w:rFonts w:ascii="Arial" w:hAnsi="Arial" w:cs="Arial"/>
        <w:sz w:val="16"/>
        <w:szCs w:val="16"/>
      </w:rPr>
    </w:pPr>
    <w:fldSimple w:instr=" FILENAME  \* Lower  \* MERGEFORMAT ">
      <w:r w:rsidR="00E473B5" w:rsidRPr="003B6EAD">
        <w:rPr>
          <w:rFonts w:ascii="Arial" w:hAnsi="Arial" w:cs="Arial"/>
          <w:noProof/>
          <w:sz w:val="16"/>
          <w:szCs w:val="16"/>
        </w:rPr>
        <w:t xml:space="preserve">bsa </w:t>
      </w:r>
      <w:r w:rsidR="00E473B5">
        <w:rPr>
          <w:rFonts w:ascii="Arial" w:hAnsi="Arial" w:cs="Arial"/>
          <w:noProof/>
          <w:sz w:val="16"/>
          <w:szCs w:val="16"/>
        </w:rPr>
        <w:t>CTR</w:t>
      </w:r>
      <w:r w:rsidR="00E473B5" w:rsidRPr="003B6EAD">
        <w:rPr>
          <w:rFonts w:ascii="Arial" w:hAnsi="Arial" w:cs="Arial"/>
          <w:noProof/>
          <w:sz w:val="16"/>
          <w:szCs w:val="16"/>
        </w:rPr>
        <w:t xml:space="preserve"> data elements disposition worksheet</w:t>
      </w:r>
      <w:r w:rsidR="00E473B5">
        <w:rPr>
          <w:noProof/>
        </w:rPr>
        <w:t xml:space="preserve"> public comments.docx</w:t>
      </w:r>
    </w:fldSimple>
    <w:r w:rsidR="00E473B5">
      <w:rPr>
        <w:rFonts w:ascii="Arial" w:hAnsi="Arial" w:cs="Arial"/>
        <w:sz w:val="16"/>
        <w:szCs w:val="16"/>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1CDE" w:rsidRDefault="00D81C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5252" w:rsidRDefault="00965252" w:rsidP="00383C31">
      <w:r>
        <w:separator/>
      </w:r>
    </w:p>
  </w:footnote>
  <w:footnote w:type="continuationSeparator" w:id="0">
    <w:p w:rsidR="00965252" w:rsidRDefault="00965252" w:rsidP="00383C31">
      <w:r>
        <w:continuationSeparator/>
      </w:r>
    </w:p>
  </w:footnote>
  <w:footnote w:id="1">
    <w:p w:rsidR="00E473B5" w:rsidRPr="00230F18" w:rsidRDefault="00E473B5" w:rsidP="00BB489E">
      <w:pPr>
        <w:pStyle w:val="FootnoteText"/>
        <w:rPr>
          <w:sz w:val="18"/>
          <w:szCs w:val="18"/>
        </w:rPr>
      </w:pPr>
      <w:r w:rsidRPr="00230F18">
        <w:rPr>
          <w:rStyle w:val="FootnoteReference"/>
          <w:sz w:val="18"/>
          <w:szCs w:val="18"/>
        </w:rPr>
        <w:footnoteRef/>
      </w:r>
      <w:r w:rsidRPr="00230F18">
        <w:rPr>
          <w:sz w:val="18"/>
          <w:szCs w:val="18"/>
        </w:rPr>
        <w:t xml:space="preserve"> </w:t>
      </w:r>
      <w:r>
        <w:rPr>
          <w:sz w:val="18"/>
          <w:szCs w:val="18"/>
        </w:rPr>
        <w:t>I</w:t>
      </w:r>
      <w:r w:rsidRPr="00230F18">
        <w:rPr>
          <w:rFonts w:ascii="Arial" w:hAnsi="Arial" w:cs="Arial"/>
          <w:b/>
          <w:sz w:val="18"/>
          <w:szCs w:val="18"/>
        </w:rPr>
        <w:t xml:space="preserve">dentify specific </w:t>
      </w:r>
      <w:r>
        <w:rPr>
          <w:rFonts w:ascii="Arial" w:hAnsi="Arial" w:cs="Arial"/>
          <w:b/>
          <w:sz w:val="18"/>
          <w:szCs w:val="18"/>
        </w:rPr>
        <w:t>work product, section/part, and item number recommendation applies to. All feedback must be presented as a recommendation for improvement not a comment (ie provide your proposed solution, not the problem). If necessary, also provide the business rationale for the recommended improvement.</w:t>
      </w:r>
    </w:p>
  </w:footnote>
  <w:footnote w:id="2">
    <w:p w:rsidR="00E473B5" w:rsidRPr="00230F18" w:rsidRDefault="00E473B5">
      <w:pPr>
        <w:pStyle w:val="FootnoteText"/>
        <w:rPr>
          <w:sz w:val="18"/>
          <w:szCs w:val="18"/>
        </w:rPr>
      </w:pPr>
      <w:r w:rsidRPr="00230F18">
        <w:rPr>
          <w:rStyle w:val="FootnoteReference"/>
          <w:sz w:val="18"/>
          <w:szCs w:val="18"/>
        </w:rPr>
        <w:footnoteRef/>
      </w:r>
      <w:r w:rsidRPr="00230F18">
        <w:rPr>
          <w:sz w:val="18"/>
          <w:szCs w:val="18"/>
        </w:rPr>
        <w:t xml:space="preserve"> </w:t>
      </w:r>
      <w:r w:rsidRPr="00230F18">
        <w:rPr>
          <w:rFonts w:ascii="Arial" w:hAnsi="Arial" w:cs="Arial"/>
          <w:b/>
          <w:sz w:val="18"/>
          <w:szCs w:val="18"/>
        </w:rPr>
        <w:t>F</w:t>
      </w:r>
      <w:r>
        <w:rPr>
          <w:rFonts w:ascii="Arial" w:hAnsi="Arial" w:cs="Arial"/>
          <w:b/>
          <w:sz w:val="18"/>
          <w:szCs w:val="18"/>
        </w:rPr>
        <w:t>inCEN will complete the disposition. D</w:t>
      </w:r>
      <w:r w:rsidRPr="00230F18">
        <w:rPr>
          <w:rFonts w:ascii="Arial" w:hAnsi="Arial" w:cs="Arial"/>
          <w:b/>
          <w:sz w:val="18"/>
          <w:szCs w:val="18"/>
        </w:rPr>
        <w:t>ispositions</w:t>
      </w:r>
      <w:r>
        <w:rPr>
          <w:rFonts w:ascii="Arial" w:hAnsi="Arial" w:cs="Arial"/>
          <w:b/>
          <w:sz w:val="18"/>
          <w:szCs w:val="18"/>
        </w:rPr>
        <w:t xml:space="preserve"> will be</w:t>
      </w:r>
      <w:r w:rsidRPr="00230F18">
        <w:rPr>
          <w:rFonts w:ascii="Arial" w:hAnsi="Arial" w:cs="Arial"/>
          <w:b/>
          <w:sz w:val="18"/>
          <w:szCs w:val="18"/>
        </w:rPr>
        <w:t xml:space="preserve"> as follows: “Recommendation Accepted”, “Recommendation Deferred</w:t>
      </w:r>
      <w:r>
        <w:rPr>
          <w:rFonts w:ascii="Arial" w:hAnsi="Arial" w:cs="Arial"/>
          <w:b/>
          <w:sz w:val="18"/>
          <w:szCs w:val="18"/>
        </w:rPr>
        <w:t xml:space="preserve">”, “Recommendation </w:t>
      </w:r>
      <w:r w:rsidRPr="00230F18">
        <w:rPr>
          <w:rFonts w:ascii="Arial" w:hAnsi="Arial" w:cs="Arial"/>
          <w:b/>
          <w:sz w:val="18"/>
          <w:szCs w:val="18"/>
        </w:rPr>
        <w:t>Amended”, “Recommendation Declined”</w:t>
      </w:r>
    </w:p>
  </w:footnote>
  <w:footnote w:id="3">
    <w:p w:rsidR="00E473B5" w:rsidRDefault="00E473B5">
      <w:pPr>
        <w:pStyle w:val="FootnoteText"/>
      </w:pPr>
      <w:r w:rsidRPr="00230F18">
        <w:rPr>
          <w:rStyle w:val="FootnoteReference"/>
          <w:sz w:val="18"/>
          <w:szCs w:val="18"/>
        </w:rPr>
        <w:footnoteRef/>
      </w:r>
      <w:r w:rsidRPr="00230F18">
        <w:rPr>
          <w:sz w:val="18"/>
          <w:szCs w:val="18"/>
        </w:rPr>
        <w:t xml:space="preserve"> </w:t>
      </w:r>
      <w:r>
        <w:rPr>
          <w:rFonts w:ascii="Arial" w:hAnsi="Arial" w:cs="Arial"/>
          <w:b/>
          <w:sz w:val="18"/>
          <w:szCs w:val="18"/>
        </w:rPr>
        <w:t>FinCEN will identify s</w:t>
      </w:r>
      <w:r w:rsidRPr="000370B2">
        <w:rPr>
          <w:rFonts w:ascii="Arial" w:hAnsi="Arial" w:cs="Arial"/>
          <w:b/>
          <w:sz w:val="18"/>
          <w:szCs w:val="18"/>
        </w:rPr>
        <w:t xml:space="preserve">pecific </w:t>
      </w:r>
      <w:r>
        <w:rPr>
          <w:rFonts w:ascii="Arial" w:hAnsi="Arial" w:cs="Arial"/>
          <w:b/>
          <w:sz w:val="18"/>
          <w:szCs w:val="18"/>
        </w:rPr>
        <w:t>work product, s</w:t>
      </w:r>
      <w:r w:rsidRPr="000370B2">
        <w:rPr>
          <w:rFonts w:ascii="Arial" w:hAnsi="Arial" w:cs="Arial"/>
          <w:b/>
          <w:sz w:val="18"/>
          <w:szCs w:val="18"/>
        </w:rPr>
        <w:t>ection</w:t>
      </w:r>
      <w:r>
        <w:rPr>
          <w:rFonts w:ascii="Arial" w:hAnsi="Arial" w:cs="Arial"/>
          <w:b/>
          <w:sz w:val="18"/>
          <w:szCs w:val="18"/>
        </w:rPr>
        <w:t xml:space="preserve">/part, </w:t>
      </w:r>
      <w:r w:rsidRPr="000370B2">
        <w:rPr>
          <w:rFonts w:ascii="Arial" w:hAnsi="Arial" w:cs="Arial"/>
          <w:b/>
          <w:sz w:val="18"/>
          <w:szCs w:val="18"/>
        </w:rPr>
        <w:t>and</w:t>
      </w:r>
      <w:r>
        <w:rPr>
          <w:rFonts w:ascii="Arial" w:hAnsi="Arial" w:cs="Arial"/>
          <w:b/>
          <w:sz w:val="18"/>
          <w:szCs w:val="18"/>
        </w:rPr>
        <w:t xml:space="preserve"> item number m</w:t>
      </w:r>
      <w:r w:rsidRPr="000370B2">
        <w:rPr>
          <w:rFonts w:ascii="Arial" w:hAnsi="Arial" w:cs="Arial"/>
          <w:b/>
          <w:sz w:val="18"/>
          <w:szCs w:val="18"/>
        </w:rPr>
        <w:t>odified</w:t>
      </w:r>
      <w:r>
        <w:rPr>
          <w:rFonts w:ascii="Arial" w:hAnsi="Arial" w:cs="Arial"/>
          <w:b/>
          <w:sz w:val="18"/>
          <w:szCs w:val="18"/>
        </w:rPr>
        <w:t xml:space="preserve"> or to be modified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1CDE" w:rsidRDefault="00D81C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73B5" w:rsidRPr="00E65B7C" w:rsidRDefault="00E473B5" w:rsidP="00E65B7C">
    <w:pPr>
      <w:pStyle w:val="Header"/>
      <w:jc w:val="center"/>
      <w:rPr>
        <w:rFonts w:ascii="Arial" w:hAnsi="Arial" w:cs="Arial"/>
        <w:b/>
      </w:rPr>
    </w:pPr>
    <w:r>
      <w:rPr>
        <w:rFonts w:ascii="Arial" w:hAnsi="Arial" w:cs="Arial"/>
        <w:b/>
      </w:rPr>
      <w:t>BSA CTR Data Elements Disposition Sheet</w:t>
    </w:r>
  </w:p>
  <w:p w:rsidR="00E473B5" w:rsidRPr="00E9588C" w:rsidRDefault="00D81CDE" w:rsidP="00E65B7C">
    <w:pPr>
      <w:pStyle w:val="Header"/>
      <w:jc w:val="center"/>
      <w:rPr>
        <w:rFonts w:ascii="Arial" w:hAnsi="Arial" w:cs="Arial"/>
        <w:b/>
      </w:rPr>
    </w:pPr>
    <w:r>
      <w:rPr>
        <w:rFonts w:ascii="Arial" w:hAnsi="Arial" w:cs="Arial"/>
        <w:b/>
      </w:rPr>
      <w:t>April 7, 2016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1CDE" w:rsidRDefault="00D81C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27994"/>
    <w:multiLevelType w:val="hybridMultilevel"/>
    <w:tmpl w:val="49D6E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A5011B"/>
    <w:multiLevelType w:val="hybridMultilevel"/>
    <w:tmpl w:val="B9C8B042"/>
    <w:lvl w:ilvl="0" w:tplc="59BCF12C">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932A2D"/>
    <w:multiLevelType w:val="hybridMultilevel"/>
    <w:tmpl w:val="CE02B59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764BFB"/>
    <w:multiLevelType w:val="hybridMultilevel"/>
    <w:tmpl w:val="544671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296397"/>
    <w:multiLevelType w:val="hybridMultilevel"/>
    <w:tmpl w:val="2D8A6704"/>
    <w:lvl w:ilvl="0" w:tplc="6E02AD2E">
      <w:start w:val="3"/>
      <w:numFmt w:val="decimal"/>
      <w:lvlText w:val="%1"/>
      <w:lvlJc w:val="left"/>
      <w:pPr>
        <w:ind w:left="360" w:hanging="360"/>
      </w:pPr>
      <w:rPr>
        <w:rFonts w:ascii="Times New Roman" w:hAnsi="Times New Roman" w:cs="Times New Roman" w:hint="default"/>
        <w:sz w:val="2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3531936"/>
    <w:multiLevelType w:val="hybridMultilevel"/>
    <w:tmpl w:val="B928B6F2"/>
    <w:lvl w:ilvl="0" w:tplc="0409000F">
      <w:start w:val="1"/>
      <w:numFmt w:val="decimal"/>
      <w:lvlText w:val="%1."/>
      <w:lvlJc w:val="left"/>
      <w:pPr>
        <w:tabs>
          <w:tab w:val="num" w:pos="450"/>
        </w:tabs>
        <w:ind w:left="450" w:hanging="360"/>
      </w:pPr>
    </w:lvl>
    <w:lvl w:ilvl="1" w:tplc="04090019" w:tentative="1">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6" w15:restartNumberingAfterBreak="0">
    <w:nsid w:val="161B4FBA"/>
    <w:multiLevelType w:val="hybridMultilevel"/>
    <w:tmpl w:val="506C9A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62D646A"/>
    <w:multiLevelType w:val="hybridMultilevel"/>
    <w:tmpl w:val="210E99EE"/>
    <w:lvl w:ilvl="0" w:tplc="6664A34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4E7B59"/>
    <w:multiLevelType w:val="hybridMultilevel"/>
    <w:tmpl w:val="95B6E046"/>
    <w:lvl w:ilvl="0" w:tplc="F2903DA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D05079"/>
    <w:multiLevelType w:val="hybridMultilevel"/>
    <w:tmpl w:val="DC2E6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D13E02"/>
    <w:multiLevelType w:val="hybridMultilevel"/>
    <w:tmpl w:val="3BCAFE9C"/>
    <w:lvl w:ilvl="0" w:tplc="30B6143A">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0F5567"/>
    <w:multiLevelType w:val="hybridMultilevel"/>
    <w:tmpl w:val="92CC0196"/>
    <w:lvl w:ilvl="0" w:tplc="94C6F06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15D21C5"/>
    <w:multiLevelType w:val="hybridMultilevel"/>
    <w:tmpl w:val="CEB0C9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25B0025"/>
    <w:multiLevelType w:val="hybridMultilevel"/>
    <w:tmpl w:val="908AAAAC"/>
    <w:lvl w:ilvl="0" w:tplc="852EA004">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8451F6"/>
    <w:multiLevelType w:val="hybridMultilevel"/>
    <w:tmpl w:val="0B6EC31C"/>
    <w:lvl w:ilvl="0" w:tplc="C8B456DA">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850B91"/>
    <w:multiLevelType w:val="hybridMultilevel"/>
    <w:tmpl w:val="849CBAF8"/>
    <w:lvl w:ilvl="0" w:tplc="192067CC">
      <w:start w:val="1"/>
      <w:numFmt w:val="decimal"/>
      <w:lvlText w:val="(%1)"/>
      <w:lvlJc w:val="left"/>
      <w:pPr>
        <w:ind w:left="360" w:hanging="360"/>
      </w:pPr>
      <w:rPr>
        <w:rFonts w:ascii="Calibri" w:hAnsi="Calibri" w:cs="Calibri" w:hint="default"/>
        <w:color w:val="auto"/>
        <w:sz w:val="2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E516D3C"/>
    <w:multiLevelType w:val="hybridMultilevel"/>
    <w:tmpl w:val="A6325ED6"/>
    <w:lvl w:ilvl="0" w:tplc="FB56AB7E">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E521D1"/>
    <w:multiLevelType w:val="hybridMultilevel"/>
    <w:tmpl w:val="054A394C"/>
    <w:lvl w:ilvl="0" w:tplc="44CCBF9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FA4E46"/>
    <w:multiLevelType w:val="hybridMultilevel"/>
    <w:tmpl w:val="4E603BAC"/>
    <w:lvl w:ilvl="0" w:tplc="C37262AA">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90131B"/>
    <w:multiLevelType w:val="hybridMultilevel"/>
    <w:tmpl w:val="B5EED862"/>
    <w:lvl w:ilvl="0" w:tplc="EFBA583E">
      <w:start w:val="2"/>
      <w:numFmt w:val="decimal"/>
      <w:lvlText w:val="%1"/>
      <w:lvlJc w:val="left"/>
      <w:pPr>
        <w:ind w:left="360" w:hanging="360"/>
      </w:pPr>
      <w:rPr>
        <w:rFonts w:ascii="Calibri" w:hAnsi="Calibri" w:cs="Calibri" w:hint="default"/>
        <w:sz w:val="2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1B91908"/>
    <w:multiLevelType w:val="hybridMultilevel"/>
    <w:tmpl w:val="261A16E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2002FA5"/>
    <w:multiLevelType w:val="hybridMultilevel"/>
    <w:tmpl w:val="1CAA008E"/>
    <w:lvl w:ilvl="0" w:tplc="1D489922">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A24F01"/>
    <w:multiLevelType w:val="multilevel"/>
    <w:tmpl w:val="41AE20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EC778E1"/>
    <w:multiLevelType w:val="hybridMultilevel"/>
    <w:tmpl w:val="4B6CEA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0B1AB2"/>
    <w:multiLevelType w:val="hybridMultilevel"/>
    <w:tmpl w:val="12D844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224CE2"/>
    <w:multiLevelType w:val="hybridMultilevel"/>
    <w:tmpl w:val="0AF01912"/>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6" w15:restartNumberingAfterBreak="0">
    <w:nsid w:val="56640047"/>
    <w:multiLevelType w:val="hybridMultilevel"/>
    <w:tmpl w:val="AC7EF7EE"/>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27" w15:restartNumberingAfterBreak="0">
    <w:nsid w:val="56AA096E"/>
    <w:multiLevelType w:val="hybridMultilevel"/>
    <w:tmpl w:val="07965DC2"/>
    <w:lvl w:ilvl="0" w:tplc="FABE039A">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EE3D14"/>
    <w:multiLevelType w:val="hybridMultilevel"/>
    <w:tmpl w:val="A5820D42"/>
    <w:lvl w:ilvl="0" w:tplc="FABE039A">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C202C9"/>
    <w:multiLevelType w:val="hybridMultilevel"/>
    <w:tmpl w:val="A79CA858"/>
    <w:lvl w:ilvl="0" w:tplc="0409000F">
      <w:start w:val="1"/>
      <w:numFmt w:val="decimal"/>
      <w:lvlText w:val="%1."/>
      <w:lvlJc w:val="left"/>
      <w:pPr>
        <w:ind w:left="540" w:hanging="360"/>
      </w:pPr>
      <w:rPr>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0" w15:restartNumberingAfterBreak="0">
    <w:nsid w:val="5D124021"/>
    <w:multiLevelType w:val="hybridMultilevel"/>
    <w:tmpl w:val="8020C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232C62"/>
    <w:multiLevelType w:val="hybridMultilevel"/>
    <w:tmpl w:val="AC8CED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073BCD"/>
    <w:multiLevelType w:val="hybridMultilevel"/>
    <w:tmpl w:val="48880974"/>
    <w:lvl w:ilvl="0" w:tplc="2F4CCB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165C7E"/>
    <w:multiLevelType w:val="hybridMultilevel"/>
    <w:tmpl w:val="70026AE2"/>
    <w:lvl w:ilvl="0" w:tplc="ADF2A86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A354FA4"/>
    <w:multiLevelType w:val="hybridMultilevel"/>
    <w:tmpl w:val="C744EF2A"/>
    <w:lvl w:ilvl="0" w:tplc="60866B60">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A5C17FB"/>
    <w:multiLevelType w:val="hybridMultilevel"/>
    <w:tmpl w:val="588A1796"/>
    <w:lvl w:ilvl="0" w:tplc="04090005">
      <w:start w:val="1"/>
      <w:numFmt w:val="bullet"/>
      <w:lvlText w:val=""/>
      <w:lvlJc w:val="left"/>
      <w:pPr>
        <w:ind w:left="720" w:hanging="360"/>
      </w:pPr>
      <w:rPr>
        <w:rFonts w:ascii="Wingdings" w:hAnsi="Wingdings" w:hint="default"/>
      </w:rPr>
    </w:lvl>
    <w:lvl w:ilvl="1" w:tplc="F5D451C2">
      <w:start w:val="2"/>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62591A"/>
    <w:multiLevelType w:val="hybridMultilevel"/>
    <w:tmpl w:val="07221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D638C9"/>
    <w:multiLevelType w:val="hybridMultilevel"/>
    <w:tmpl w:val="823488BA"/>
    <w:lvl w:ilvl="0" w:tplc="345610C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C444219"/>
    <w:multiLevelType w:val="hybridMultilevel"/>
    <w:tmpl w:val="937A2D0C"/>
    <w:lvl w:ilvl="0" w:tplc="CE3ED9F8">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430E7C"/>
    <w:multiLevelType w:val="hybridMultilevel"/>
    <w:tmpl w:val="53D2FAEE"/>
    <w:lvl w:ilvl="0" w:tplc="ACCEC8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023EEB"/>
    <w:multiLevelType w:val="hybridMultilevel"/>
    <w:tmpl w:val="88F824B0"/>
    <w:lvl w:ilvl="0" w:tplc="CB889F1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4912507"/>
    <w:multiLevelType w:val="hybridMultilevel"/>
    <w:tmpl w:val="67B4D264"/>
    <w:lvl w:ilvl="0" w:tplc="4058C444">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8477BCA"/>
    <w:multiLevelType w:val="hybridMultilevel"/>
    <w:tmpl w:val="54F24F50"/>
    <w:lvl w:ilvl="0" w:tplc="5C66181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7CE37438"/>
    <w:multiLevelType w:val="hybridMultilevel"/>
    <w:tmpl w:val="73585534"/>
    <w:lvl w:ilvl="0" w:tplc="6A4EA6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9"/>
  </w:num>
  <w:num w:numId="3">
    <w:abstractNumId w:val="35"/>
  </w:num>
  <w:num w:numId="4">
    <w:abstractNumId w:val="31"/>
  </w:num>
  <w:num w:numId="5">
    <w:abstractNumId w:val="36"/>
  </w:num>
  <w:num w:numId="6">
    <w:abstractNumId w:val="6"/>
  </w:num>
  <w:num w:numId="7">
    <w:abstractNumId w:val="5"/>
  </w:num>
  <w:num w:numId="8">
    <w:abstractNumId w:val="33"/>
  </w:num>
  <w:num w:numId="9">
    <w:abstractNumId w:val="11"/>
  </w:num>
  <w:num w:numId="10">
    <w:abstractNumId w:val="40"/>
  </w:num>
  <w:num w:numId="11">
    <w:abstractNumId w:val="39"/>
  </w:num>
  <w:num w:numId="12">
    <w:abstractNumId w:val="15"/>
  </w:num>
  <w:num w:numId="13">
    <w:abstractNumId w:val="19"/>
  </w:num>
  <w:num w:numId="14">
    <w:abstractNumId w:val="38"/>
  </w:num>
  <w:num w:numId="15">
    <w:abstractNumId w:val="25"/>
  </w:num>
  <w:num w:numId="16">
    <w:abstractNumId w:val="30"/>
  </w:num>
  <w:num w:numId="17">
    <w:abstractNumId w:val="37"/>
  </w:num>
  <w:num w:numId="18">
    <w:abstractNumId w:val="12"/>
  </w:num>
  <w:num w:numId="19">
    <w:abstractNumId w:val="43"/>
  </w:num>
  <w:num w:numId="20">
    <w:abstractNumId w:val="22"/>
  </w:num>
  <w:num w:numId="21">
    <w:abstractNumId w:val="0"/>
  </w:num>
  <w:num w:numId="22">
    <w:abstractNumId w:val="24"/>
  </w:num>
  <w:num w:numId="23">
    <w:abstractNumId w:val="23"/>
  </w:num>
  <w:num w:numId="24">
    <w:abstractNumId w:val="26"/>
  </w:num>
  <w:num w:numId="25">
    <w:abstractNumId w:val="3"/>
  </w:num>
  <w:num w:numId="26">
    <w:abstractNumId w:val="21"/>
  </w:num>
  <w:num w:numId="27">
    <w:abstractNumId w:val="42"/>
  </w:num>
  <w:num w:numId="28">
    <w:abstractNumId w:val="27"/>
  </w:num>
  <w:num w:numId="29">
    <w:abstractNumId w:val="7"/>
  </w:num>
  <w:num w:numId="30">
    <w:abstractNumId w:val="17"/>
  </w:num>
  <w:num w:numId="31">
    <w:abstractNumId w:val="41"/>
  </w:num>
  <w:num w:numId="32">
    <w:abstractNumId w:val="13"/>
  </w:num>
  <w:num w:numId="33">
    <w:abstractNumId w:val="10"/>
  </w:num>
  <w:num w:numId="34">
    <w:abstractNumId w:val="14"/>
  </w:num>
  <w:num w:numId="35">
    <w:abstractNumId w:val="18"/>
  </w:num>
  <w:num w:numId="36">
    <w:abstractNumId w:val="28"/>
  </w:num>
  <w:num w:numId="37">
    <w:abstractNumId w:val="16"/>
  </w:num>
  <w:num w:numId="38">
    <w:abstractNumId w:val="4"/>
  </w:num>
  <w:num w:numId="39">
    <w:abstractNumId w:val="1"/>
  </w:num>
  <w:num w:numId="40">
    <w:abstractNumId w:val="8"/>
  </w:num>
  <w:num w:numId="41">
    <w:abstractNumId w:val="34"/>
  </w:num>
  <w:num w:numId="42">
    <w:abstractNumId w:val="32"/>
  </w:num>
  <w:num w:numId="43">
    <w:abstractNumId w:val="2"/>
  </w:num>
  <w:num w:numId="4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ReportControlsVisible" w:val="Empty"/>
    <w:docVar w:name="_AMO_UniqueIdentifier" w:val="5b449950-2945-45ce-b72c-ebaee43c0d43"/>
  </w:docVars>
  <w:rsids>
    <w:rsidRoot w:val="00E65B7C"/>
    <w:rsid w:val="00000F78"/>
    <w:rsid w:val="00003873"/>
    <w:rsid w:val="000038E5"/>
    <w:rsid w:val="0000557C"/>
    <w:rsid w:val="00005B63"/>
    <w:rsid w:val="00006F05"/>
    <w:rsid w:val="000070D5"/>
    <w:rsid w:val="000112DB"/>
    <w:rsid w:val="00012502"/>
    <w:rsid w:val="00015CC5"/>
    <w:rsid w:val="000167C1"/>
    <w:rsid w:val="00017232"/>
    <w:rsid w:val="000208BC"/>
    <w:rsid w:val="00020E0F"/>
    <w:rsid w:val="00022AFB"/>
    <w:rsid w:val="00023F32"/>
    <w:rsid w:val="00025E72"/>
    <w:rsid w:val="00026B30"/>
    <w:rsid w:val="00027635"/>
    <w:rsid w:val="00030373"/>
    <w:rsid w:val="00032022"/>
    <w:rsid w:val="00033FB5"/>
    <w:rsid w:val="0003461B"/>
    <w:rsid w:val="00037375"/>
    <w:rsid w:val="00041040"/>
    <w:rsid w:val="00041336"/>
    <w:rsid w:val="000421C9"/>
    <w:rsid w:val="00042628"/>
    <w:rsid w:val="0004314F"/>
    <w:rsid w:val="000455AB"/>
    <w:rsid w:val="00045D25"/>
    <w:rsid w:val="00050A6D"/>
    <w:rsid w:val="00050DD7"/>
    <w:rsid w:val="00054121"/>
    <w:rsid w:val="00056B95"/>
    <w:rsid w:val="00057347"/>
    <w:rsid w:val="00061471"/>
    <w:rsid w:val="000626A6"/>
    <w:rsid w:val="0007302D"/>
    <w:rsid w:val="00075C0A"/>
    <w:rsid w:val="0007702B"/>
    <w:rsid w:val="00083FC5"/>
    <w:rsid w:val="00085359"/>
    <w:rsid w:val="00087C75"/>
    <w:rsid w:val="0009082B"/>
    <w:rsid w:val="0009102F"/>
    <w:rsid w:val="000946DA"/>
    <w:rsid w:val="000A5F15"/>
    <w:rsid w:val="000A6519"/>
    <w:rsid w:val="000A6C5C"/>
    <w:rsid w:val="000A7404"/>
    <w:rsid w:val="000A798C"/>
    <w:rsid w:val="000B1DCC"/>
    <w:rsid w:val="000B2643"/>
    <w:rsid w:val="000B26D5"/>
    <w:rsid w:val="000B2BEB"/>
    <w:rsid w:val="000B2D77"/>
    <w:rsid w:val="000B2F14"/>
    <w:rsid w:val="000B373F"/>
    <w:rsid w:val="000B3856"/>
    <w:rsid w:val="000B3C00"/>
    <w:rsid w:val="000B5115"/>
    <w:rsid w:val="000B7373"/>
    <w:rsid w:val="000C1C14"/>
    <w:rsid w:val="000C3051"/>
    <w:rsid w:val="000C6BDB"/>
    <w:rsid w:val="000D0033"/>
    <w:rsid w:val="000D07AA"/>
    <w:rsid w:val="000D25F0"/>
    <w:rsid w:val="000D386F"/>
    <w:rsid w:val="000D43A1"/>
    <w:rsid w:val="000D4B0C"/>
    <w:rsid w:val="000D4BC6"/>
    <w:rsid w:val="000D5735"/>
    <w:rsid w:val="000D7EE8"/>
    <w:rsid w:val="000E0DF6"/>
    <w:rsid w:val="000E12F1"/>
    <w:rsid w:val="000E45EB"/>
    <w:rsid w:val="000E7380"/>
    <w:rsid w:val="000E74CB"/>
    <w:rsid w:val="000F0821"/>
    <w:rsid w:val="000F1105"/>
    <w:rsid w:val="000F1409"/>
    <w:rsid w:val="000F2648"/>
    <w:rsid w:val="000F2936"/>
    <w:rsid w:val="000F3E2C"/>
    <w:rsid w:val="000F5AFC"/>
    <w:rsid w:val="000F78D2"/>
    <w:rsid w:val="00100266"/>
    <w:rsid w:val="0010047A"/>
    <w:rsid w:val="00101F6E"/>
    <w:rsid w:val="001022DC"/>
    <w:rsid w:val="001023C0"/>
    <w:rsid w:val="00104AE7"/>
    <w:rsid w:val="00105256"/>
    <w:rsid w:val="00106B6E"/>
    <w:rsid w:val="00107624"/>
    <w:rsid w:val="001116BF"/>
    <w:rsid w:val="001143A5"/>
    <w:rsid w:val="00116F2E"/>
    <w:rsid w:val="0011707B"/>
    <w:rsid w:val="00117B17"/>
    <w:rsid w:val="0012237A"/>
    <w:rsid w:val="00123C19"/>
    <w:rsid w:val="0012510D"/>
    <w:rsid w:val="00126444"/>
    <w:rsid w:val="00127F98"/>
    <w:rsid w:val="001328FB"/>
    <w:rsid w:val="001350F7"/>
    <w:rsid w:val="00135A59"/>
    <w:rsid w:val="00137A1D"/>
    <w:rsid w:val="0014005E"/>
    <w:rsid w:val="001400A2"/>
    <w:rsid w:val="00141A96"/>
    <w:rsid w:val="001424E0"/>
    <w:rsid w:val="00142EE7"/>
    <w:rsid w:val="00147F16"/>
    <w:rsid w:val="00150DE5"/>
    <w:rsid w:val="0015109A"/>
    <w:rsid w:val="001522D9"/>
    <w:rsid w:val="001540D4"/>
    <w:rsid w:val="00156376"/>
    <w:rsid w:val="00156EB0"/>
    <w:rsid w:val="00157136"/>
    <w:rsid w:val="00166961"/>
    <w:rsid w:val="001731DC"/>
    <w:rsid w:val="0017367E"/>
    <w:rsid w:val="001816E4"/>
    <w:rsid w:val="00183DCB"/>
    <w:rsid w:val="001850E6"/>
    <w:rsid w:val="001863BF"/>
    <w:rsid w:val="00187131"/>
    <w:rsid w:val="00187933"/>
    <w:rsid w:val="001937C4"/>
    <w:rsid w:val="0019409B"/>
    <w:rsid w:val="001A2C4B"/>
    <w:rsid w:val="001A3A09"/>
    <w:rsid w:val="001A4414"/>
    <w:rsid w:val="001A6A79"/>
    <w:rsid w:val="001B03CB"/>
    <w:rsid w:val="001B1CB1"/>
    <w:rsid w:val="001B1D5F"/>
    <w:rsid w:val="001B27A8"/>
    <w:rsid w:val="001B3F54"/>
    <w:rsid w:val="001B7FCC"/>
    <w:rsid w:val="001C0B0C"/>
    <w:rsid w:val="001C14C5"/>
    <w:rsid w:val="001C3B5A"/>
    <w:rsid w:val="001C3FB3"/>
    <w:rsid w:val="001C3FBF"/>
    <w:rsid w:val="001C451D"/>
    <w:rsid w:val="001C4E49"/>
    <w:rsid w:val="001C5481"/>
    <w:rsid w:val="001C5BBE"/>
    <w:rsid w:val="001D0097"/>
    <w:rsid w:val="001D1770"/>
    <w:rsid w:val="001D191E"/>
    <w:rsid w:val="001D28BE"/>
    <w:rsid w:val="001D3147"/>
    <w:rsid w:val="001D388B"/>
    <w:rsid w:val="001D3C00"/>
    <w:rsid w:val="001D4465"/>
    <w:rsid w:val="001D6224"/>
    <w:rsid w:val="001D6C54"/>
    <w:rsid w:val="001E16D8"/>
    <w:rsid w:val="001E40DF"/>
    <w:rsid w:val="001E745C"/>
    <w:rsid w:val="001E7853"/>
    <w:rsid w:val="001F3214"/>
    <w:rsid w:val="001F340F"/>
    <w:rsid w:val="001F36C2"/>
    <w:rsid w:val="001F4476"/>
    <w:rsid w:val="001F6D51"/>
    <w:rsid w:val="001F7B13"/>
    <w:rsid w:val="0020422F"/>
    <w:rsid w:val="00204781"/>
    <w:rsid w:val="00207098"/>
    <w:rsid w:val="00212F67"/>
    <w:rsid w:val="0021353B"/>
    <w:rsid w:val="00213556"/>
    <w:rsid w:val="00213D5B"/>
    <w:rsid w:val="002157E0"/>
    <w:rsid w:val="002174F4"/>
    <w:rsid w:val="00217D9E"/>
    <w:rsid w:val="00220895"/>
    <w:rsid w:val="00225D39"/>
    <w:rsid w:val="00227E1F"/>
    <w:rsid w:val="00230B5D"/>
    <w:rsid w:val="00230F18"/>
    <w:rsid w:val="0023749D"/>
    <w:rsid w:val="002412EB"/>
    <w:rsid w:val="0024237A"/>
    <w:rsid w:val="00244292"/>
    <w:rsid w:val="00246979"/>
    <w:rsid w:val="00246BED"/>
    <w:rsid w:val="00250DFB"/>
    <w:rsid w:val="0025175A"/>
    <w:rsid w:val="002536AE"/>
    <w:rsid w:val="00260306"/>
    <w:rsid w:val="00260FA3"/>
    <w:rsid w:val="002623B4"/>
    <w:rsid w:val="0026402F"/>
    <w:rsid w:val="00265768"/>
    <w:rsid w:val="002661E0"/>
    <w:rsid w:val="00266EDF"/>
    <w:rsid w:val="00266FC4"/>
    <w:rsid w:val="00270CA9"/>
    <w:rsid w:val="002748F0"/>
    <w:rsid w:val="00276108"/>
    <w:rsid w:val="00276941"/>
    <w:rsid w:val="00276999"/>
    <w:rsid w:val="002769E3"/>
    <w:rsid w:val="0027765A"/>
    <w:rsid w:val="00284DBD"/>
    <w:rsid w:val="00285DE7"/>
    <w:rsid w:val="0028768C"/>
    <w:rsid w:val="00292333"/>
    <w:rsid w:val="0029277B"/>
    <w:rsid w:val="00296908"/>
    <w:rsid w:val="002A0291"/>
    <w:rsid w:val="002A1CF2"/>
    <w:rsid w:val="002A1D46"/>
    <w:rsid w:val="002A2185"/>
    <w:rsid w:val="002A3D7F"/>
    <w:rsid w:val="002A69AF"/>
    <w:rsid w:val="002A7555"/>
    <w:rsid w:val="002B04E5"/>
    <w:rsid w:val="002B3A28"/>
    <w:rsid w:val="002B532D"/>
    <w:rsid w:val="002B5708"/>
    <w:rsid w:val="002B634E"/>
    <w:rsid w:val="002B6741"/>
    <w:rsid w:val="002C2A38"/>
    <w:rsid w:val="002D13AD"/>
    <w:rsid w:val="002D1B94"/>
    <w:rsid w:val="002D3CA0"/>
    <w:rsid w:val="002D49BE"/>
    <w:rsid w:val="002D665D"/>
    <w:rsid w:val="002D674E"/>
    <w:rsid w:val="002D7F89"/>
    <w:rsid w:val="002E04E3"/>
    <w:rsid w:val="002E0703"/>
    <w:rsid w:val="002E0980"/>
    <w:rsid w:val="002E250B"/>
    <w:rsid w:val="002E3D2D"/>
    <w:rsid w:val="002E3DEF"/>
    <w:rsid w:val="002E4DE7"/>
    <w:rsid w:val="002E743B"/>
    <w:rsid w:val="002F0DE6"/>
    <w:rsid w:val="002F75D5"/>
    <w:rsid w:val="002F7852"/>
    <w:rsid w:val="003003D4"/>
    <w:rsid w:val="003011B4"/>
    <w:rsid w:val="00307ED4"/>
    <w:rsid w:val="00310524"/>
    <w:rsid w:val="003119F0"/>
    <w:rsid w:val="00323599"/>
    <w:rsid w:val="00325C6D"/>
    <w:rsid w:val="00325CC5"/>
    <w:rsid w:val="0032603A"/>
    <w:rsid w:val="00326B31"/>
    <w:rsid w:val="00331B4E"/>
    <w:rsid w:val="00332D8D"/>
    <w:rsid w:val="0033605B"/>
    <w:rsid w:val="0033789A"/>
    <w:rsid w:val="00343B68"/>
    <w:rsid w:val="003449A6"/>
    <w:rsid w:val="00344D98"/>
    <w:rsid w:val="00346090"/>
    <w:rsid w:val="00346C92"/>
    <w:rsid w:val="00352D25"/>
    <w:rsid w:val="00356CDB"/>
    <w:rsid w:val="00360293"/>
    <w:rsid w:val="00360A9A"/>
    <w:rsid w:val="00361959"/>
    <w:rsid w:val="00361F30"/>
    <w:rsid w:val="0036722B"/>
    <w:rsid w:val="00371FA1"/>
    <w:rsid w:val="003738B4"/>
    <w:rsid w:val="00374233"/>
    <w:rsid w:val="00374804"/>
    <w:rsid w:val="00375A46"/>
    <w:rsid w:val="0037680F"/>
    <w:rsid w:val="00380279"/>
    <w:rsid w:val="00381A04"/>
    <w:rsid w:val="00381B20"/>
    <w:rsid w:val="00383C31"/>
    <w:rsid w:val="003843D7"/>
    <w:rsid w:val="00386357"/>
    <w:rsid w:val="00391230"/>
    <w:rsid w:val="00392695"/>
    <w:rsid w:val="00393B77"/>
    <w:rsid w:val="00394455"/>
    <w:rsid w:val="00394464"/>
    <w:rsid w:val="003957B9"/>
    <w:rsid w:val="00397DBA"/>
    <w:rsid w:val="003A1B6D"/>
    <w:rsid w:val="003A2E2E"/>
    <w:rsid w:val="003A2EDC"/>
    <w:rsid w:val="003A38E2"/>
    <w:rsid w:val="003A39D2"/>
    <w:rsid w:val="003A58FD"/>
    <w:rsid w:val="003B06F2"/>
    <w:rsid w:val="003B2179"/>
    <w:rsid w:val="003B5ADC"/>
    <w:rsid w:val="003B6EAD"/>
    <w:rsid w:val="003B759A"/>
    <w:rsid w:val="003C4695"/>
    <w:rsid w:val="003C483E"/>
    <w:rsid w:val="003C523D"/>
    <w:rsid w:val="003C5507"/>
    <w:rsid w:val="003C660E"/>
    <w:rsid w:val="003D0FAD"/>
    <w:rsid w:val="003D18F9"/>
    <w:rsid w:val="003D33E1"/>
    <w:rsid w:val="003D5F92"/>
    <w:rsid w:val="003D7244"/>
    <w:rsid w:val="003E1419"/>
    <w:rsid w:val="003E4B5C"/>
    <w:rsid w:val="003E5BE5"/>
    <w:rsid w:val="003F04AD"/>
    <w:rsid w:val="003F201E"/>
    <w:rsid w:val="003F3E40"/>
    <w:rsid w:val="003F4332"/>
    <w:rsid w:val="003F7509"/>
    <w:rsid w:val="0040198C"/>
    <w:rsid w:val="0040347F"/>
    <w:rsid w:val="00403AC5"/>
    <w:rsid w:val="00403E7D"/>
    <w:rsid w:val="0040651C"/>
    <w:rsid w:val="00406F55"/>
    <w:rsid w:val="004077D6"/>
    <w:rsid w:val="004128A8"/>
    <w:rsid w:val="00413E7E"/>
    <w:rsid w:val="00415E67"/>
    <w:rsid w:val="004177C1"/>
    <w:rsid w:val="00422CD8"/>
    <w:rsid w:val="00423A32"/>
    <w:rsid w:val="00424BF7"/>
    <w:rsid w:val="00424E7D"/>
    <w:rsid w:val="004257ED"/>
    <w:rsid w:val="0042784C"/>
    <w:rsid w:val="00427FD9"/>
    <w:rsid w:val="004304D5"/>
    <w:rsid w:val="0043064E"/>
    <w:rsid w:val="00430D8B"/>
    <w:rsid w:val="00442C21"/>
    <w:rsid w:val="00444D7D"/>
    <w:rsid w:val="00445605"/>
    <w:rsid w:val="00446671"/>
    <w:rsid w:val="00446A37"/>
    <w:rsid w:val="004479E4"/>
    <w:rsid w:val="00447EA0"/>
    <w:rsid w:val="0045153B"/>
    <w:rsid w:val="00452BAF"/>
    <w:rsid w:val="00453377"/>
    <w:rsid w:val="0045444F"/>
    <w:rsid w:val="00455131"/>
    <w:rsid w:val="004571F7"/>
    <w:rsid w:val="004577AC"/>
    <w:rsid w:val="0045786F"/>
    <w:rsid w:val="0046317C"/>
    <w:rsid w:val="00463A7A"/>
    <w:rsid w:val="00464318"/>
    <w:rsid w:val="00465CF7"/>
    <w:rsid w:val="00467239"/>
    <w:rsid w:val="004672C2"/>
    <w:rsid w:val="004716F9"/>
    <w:rsid w:val="00476A61"/>
    <w:rsid w:val="004776FE"/>
    <w:rsid w:val="0048117F"/>
    <w:rsid w:val="0048255C"/>
    <w:rsid w:val="004833C4"/>
    <w:rsid w:val="00486C88"/>
    <w:rsid w:val="00486F5A"/>
    <w:rsid w:val="004908EF"/>
    <w:rsid w:val="004915AB"/>
    <w:rsid w:val="00492115"/>
    <w:rsid w:val="004938D0"/>
    <w:rsid w:val="004943FE"/>
    <w:rsid w:val="00495796"/>
    <w:rsid w:val="004A2F2E"/>
    <w:rsid w:val="004A3240"/>
    <w:rsid w:val="004A7148"/>
    <w:rsid w:val="004B02D4"/>
    <w:rsid w:val="004B4096"/>
    <w:rsid w:val="004B4CA9"/>
    <w:rsid w:val="004B5DC8"/>
    <w:rsid w:val="004C19E7"/>
    <w:rsid w:val="004C41CE"/>
    <w:rsid w:val="004C544C"/>
    <w:rsid w:val="004C5D67"/>
    <w:rsid w:val="004C5E01"/>
    <w:rsid w:val="004C5E74"/>
    <w:rsid w:val="004C6CE9"/>
    <w:rsid w:val="004C7C92"/>
    <w:rsid w:val="004D0A1D"/>
    <w:rsid w:val="004D3740"/>
    <w:rsid w:val="004D4A60"/>
    <w:rsid w:val="004D6107"/>
    <w:rsid w:val="004D6654"/>
    <w:rsid w:val="004E07E0"/>
    <w:rsid w:val="004E1088"/>
    <w:rsid w:val="004E2AB9"/>
    <w:rsid w:val="004E2DED"/>
    <w:rsid w:val="004E35EE"/>
    <w:rsid w:val="004E3FDE"/>
    <w:rsid w:val="004E6E62"/>
    <w:rsid w:val="004F2823"/>
    <w:rsid w:val="004F3265"/>
    <w:rsid w:val="004F5335"/>
    <w:rsid w:val="004F5ABC"/>
    <w:rsid w:val="004F662F"/>
    <w:rsid w:val="0050131B"/>
    <w:rsid w:val="0050151C"/>
    <w:rsid w:val="00501829"/>
    <w:rsid w:val="00504EF5"/>
    <w:rsid w:val="0050728C"/>
    <w:rsid w:val="005137AE"/>
    <w:rsid w:val="0051477E"/>
    <w:rsid w:val="00514E0E"/>
    <w:rsid w:val="00517286"/>
    <w:rsid w:val="00525853"/>
    <w:rsid w:val="005269C9"/>
    <w:rsid w:val="005274A3"/>
    <w:rsid w:val="00527DF2"/>
    <w:rsid w:val="00531C93"/>
    <w:rsid w:val="00537C88"/>
    <w:rsid w:val="00540561"/>
    <w:rsid w:val="00542316"/>
    <w:rsid w:val="005426FF"/>
    <w:rsid w:val="00544F73"/>
    <w:rsid w:val="005467FA"/>
    <w:rsid w:val="00546B23"/>
    <w:rsid w:val="00550B62"/>
    <w:rsid w:val="005514A4"/>
    <w:rsid w:val="00552FCB"/>
    <w:rsid w:val="00555051"/>
    <w:rsid w:val="00555932"/>
    <w:rsid w:val="005560A2"/>
    <w:rsid w:val="00556415"/>
    <w:rsid w:val="0055673B"/>
    <w:rsid w:val="00560EDB"/>
    <w:rsid w:val="00565830"/>
    <w:rsid w:val="00565D7D"/>
    <w:rsid w:val="00565E05"/>
    <w:rsid w:val="0057092F"/>
    <w:rsid w:val="00573C68"/>
    <w:rsid w:val="00574B19"/>
    <w:rsid w:val="00575515"/>
    <w:rsid w:val="00575CF9"/>
    <w:rsid w:val="00577B68"/>
    <w:rsid w:val="0058030D"/>
    <w:rsid w:val="0058108A"/>
    <w:rsid w:val="005810EC"/>
    <w:rsid w:val="00583448"/>
    <w:rsid w:val="005866FF"/>
    <w:rsid w:val="00586F50"/>
    <w:rsid w:val="005876BA"/>
    <w:rsid w:val="0059063A"/>
    <w:rsid w:val="00590D20"/>
    <w:rsid w:val="0059365B"/>
    <w:rsid w:val="0059424E"/>
    <w:rsid w:val="0059542F"/>
    <w:rsid w:val="005A0D61"/>
    <w:rsid w:val="005A29AA"/>
    <w:rsid w:val="005A2D75"/>
    <w:rsid w:val="005A3A79"/>
    <w:rsid w:val="005A4112"/>
    <w:rsid w:val="005B44C8"/>
    <w:rsid w:val="005B5133"/>
    <w:rsid w:val="005B615C"/>
    <w:rsid w:val="005B7B78"/>
    <w:rsid w:val="005C1092"/>
    <w:rsid w:val="005D0498"/>
    <w:rsid w:val="005D4F12"/>
    <w:rsid w:val="005D7E5E"/>
    <w:rsid w:val="005E4BC6"/>
    <w:rsid w:val="005E51CE"/>
    <w:rsid w:val="005E74E9"/>
    <w:rsid w:val="005E7BC5"/>
    <w:rsid w:val="005F0395"/>
    <w:rsid w:val="005F2F6A"/>
    <w:rsid w:val="005F3A38"/>
    <w:rsid w:val="005F46A7"/>
    <w:rsid w:val="005F4C84"/>
    <w:rsid w:val="005F60BE"/>
    <w:rsid w:val="005F766A"/>
    <w:rsid w:val="005F76E9"/>
    <w:rsid w:val="0060019C"/>
    <w:rsid w:val="006007A6"/>
    <w:rsid w:val="00602FBE"/>
    <w:rsid w:val="00606B35"/>
    <w:rsid w:val="00607871"/>
    <w:rsid w:val="00611782"/>
    <w:rsid w:val="006120CA"/>
    <w:rsid w:val="00617541"/>
    <w:rsid w:val="00620184"/>
    <w:rsid w:val="00621BD5"/>
    <w:rsid w:val="00621F73"/>
    <w:rsid w:val="00623B4F"/>
    <w:rsid w:val="00624478"/>
    <w:rsid w:val="00625961"/>
    <w:rsid w:val="00626412"/>
    <w:rsid w:val="0062697D"/>
    <w:rsid w:val="00632C63"/>
    <w:rsid w:val="00632CF6"/>
    <w:rsid w:val="00633318"/>
    <w:rsid w:val="00633743"/>
    <w:rsid w:val="0063379F"/>
    <w:rsid w:val="00635EEC"/>
    <w:rsid w:val="006363DE"/>
    <w:rsid w:val="00636AC9"/>
    <w:rsid w:val="00637BFA"/>
    <w:rsid w:val="006421E1"/>
    <w:rsid w:val="00642633"/>
    <w:rsid w:val="0064413F"/>
    <w:rsid w:val="00646A01"/>
    <w:rsid w:val="00646BA0"/>
    <w:rsid w:val="00651BFE"/>
    <w:rsid w:val="00652495"/>
    <w:rsid w:val="00652540"/>
    <w:rsid w:val="00654720"/>
    <w:rsid w:val="006551F8"/>
    <w:rsid w:val="00656253"/>
    <w:rsid w:val="00656FB8"/>
    <w:rsid w:val="00657754"/>
    <w:rsid w:val="00657C2B"/>
    <w:rsid w:val="00657E2F"/>
    <w:rsid w:val="00661206"/>
    <w:rsid w:val="00664374"/>
    <w:rsid w:val="00664674"/>
    <w:rsid w:val="0066467C"/>
    <w:rsid w:val="00670892"/>
    <w:rsid w:val="00671D3D"/>
    <w:rsid w:val="00673011"/>
    <w:rsid w:val="0067569F"/>
    <w:rsid w:val="0067642A"/>
    <w:rsid w:val="00682112"/>
    <w:rsid w:val="0068224E"/>
    <w:rsid w:val="00685F11"/>
    <w:rsid w:val="006869FA"/>
    <w:rsid w:val="00690E9B"/>
    <w:rsid w:val="006912FA"/>
    <w:rsid w:val="006933C3"/>
    <w:rsid w:val="00695DA1"/>
    <w:rsid w:val="00697822"/>
    <w:rsid w:val="006A0B21"/>
    <w:rsid w:val="006A5B78"/>
    <w:rsid w:val="006A730B"/>
    <w:rsid w:val="006B0D62"/>
    <w:rsid w:val="006B239D"/>
    <w:rsid w:val="006B2503"/>
    <w:rsid w:val="006B4EE7"/>
    <w:rsid w:val="006B71B8"/>
    <w:rsid w:val="006B74F1"/>
    <w:rsid w:val="006B78E2"/>
    <w:rsid w:val="006B7A15"/>
    <w:rsid w:val="006C12D4"/>
    <w:rsid w:val="006C5F58"/>
    <w:rsid w:val="006C632E"/>
    <w:rsid w:val="006C7C11"/>
    <w:rsid w:val="006D03C0"/>
    <w:rsid w:val="006D3075"/>
    <w:rsid w:val="006D37A9"/>
    <w:rsid w:val="006E0240"/>
    <w:rsid w:val="006E11EF"/>
    <w:rsid w:val="006E1930"/>
    <w:rsid w:val="006E4443"/>
    <w:rsid w:val="006E4AD5"/>
    <w:rsid w:val="006E56ED"/>
    <w:rsid w:val="006F0A01"/>
    <w:rsid w:val="006F1C2B"/>
    <w:rsid w:val="006F210C"/>
    <w:rsid w:val="006F5230"/>
    <w:rsid w:val="006F6B64"/>
    <w:rsid w:val="007015A7"/>
    <w:rsid w:val="007025E4"/>
    <w:rsid w:val="00703055"/>
    <w:rsid w:val="007037BC"/>
    <w:rsid w:val="0070390B"/>
    <w:rsid w:val="00712B78"/>
    <w:rsid w:val="00714107"/>
    <w:rsid w:val="00720462"/>
    <w:rsid w:val="00723262"/>
    <w:rsid w:val="00730EC4"/>
    <w:rsid w:val="00732016"/>
    <w:rsid w:val="00734EA6"/>
    <w:rsid w:val="00735927"/>
    <w:rsid w:val="00735F87"/>
    <w:rsid w:val="00737515"/>
    <w:rsid w:val="00740CB7"/>
    <w:rsid w:val="0074128D"/>
    <w:rsid w:val="00741D1B"/>
    <w:rsid w:val="00742338"/>
    <w:rsid w:val="00744F26"/>
    <w:rsid w:val="0075135F"/>
    <w:rsid w:val="00752C14"/>
    <w:rsid w:val="007530E6"/>
    <w:rsid w:val="00753766"/>
    <w:rsid w:val="0076184B"/>
    <w:rsid w:val="007641FE"/>
    <w:rsid w:val="00764B7B"/>
    <w:rsid w:val="0076781F"/>
    <w:rsid w:val="00767C67"/>
    <w:rsid w:val="00771377"/>
    <w:rsid w:val="00773B74"/>
    <w:rsid w:val="00776143"/>
    <w:rsid w:val="007777E7"/>
    <w:rsid w:val="007825AB"/>
    <w:rsid w:val="00783765"/>
    <w:rsid w:val="007857BB"/>
    <w:rsid w:val="0078642B"/>
    <w:rsid w:val="007864FB"/>
    <w:rsid w:val="00787B0A"/>
    <w:rsid w:val="00790453"/>
    <w:rsid w:val="00791C89"/>
    <w:rsid w:val="00791F65"/>
    <w:rsid w:val="007920C9"/>
    <w:rsid w:val="0079271A"/>
    <w:rsid w:val="0079444A"/>
    <w:rsid w:val="00795556"/>
    <w:rsid w:val="00797026"/>
    <w:rsid w:val="007A0100"/>
    <w:rsid w:val="007A0CF2"/>
    <w:rsid w:val="007A2F95"/>
    <w:rsid w:val="007A5412"/>
    <w:rsid w:val="007B2B6E"/>
    <w:rsid w:val="007B5C0D"/>
    <w:rsid w:val="007B68C3"/>
    <w:rsid w:val="007C0156"/>
    <w:rsid w:val="007C10F7"/>
    <w:rsid w:val="007C124F"/>
    <w:rsid w:val="007C24BC"/>
    <w:rsid w:val="007C35ED"/>
    <w:rsid w:val="007C4059"/>
    <w:rsid w:val="007C415C"/>
    <w:rsid w:val="007C5431"/>
    <w:rsid w:val="007C6790"/>
    <w:rsid w:val="007D6DB6"/>
    <w:rsid w:val="007D71E6"/>
    <w:rsid w:val="007E0179"/>
    <w:rsid w:val="007E28D7"/>
    <w:rsid w:val="007E422B"/>
    <w:rsid w:val="007E42CD"/>
    <w:rsid w:val="007E6286"/>
    <w:rsid w:val="007E6500"/>
    <w:rsid w:val="007E7DB2"/>
    <w:rsid w:val="007F0E8C"/>
    <w:rsid w:val="007F14A5"/>
    <w:rsid w:val="0080023E"/>
    <w:rsid w:val="008017D5"/>
    <w:rsid w:val="00801EBF"/>
    <w:rsid w:val="00802AE9"/>
    <w:rsid w:val="00803750"/>
    <w:rsid w:val="00803848"/>
    <w:rsid w:val="00804F4C"/>
    <w:rsid w:val="0080583E"/>
    <w:rsid w:val="008078DE"/>
    <w:rsid w:val="00811BBF"/>
    <w:rsid w:val="00813B79"/>
    <w:rsid w:val="008145A7"/>
    <w:rsid w:val="008179C8"/>
    <w:rsid w:val="00820711"/>
    <w:rsid w:val="008225EA"/>
    <w:rsid w:val="00825886"/>
    <w:rsid w:val="00826E7D"/>
    <w:rsid w:val="008306B4"/>
    <w:rsid w:val="00832962"/>
    <w:rsid w:val="00836283"/>
    <w:rsid w:val="00841778"/>
    <w:rsid w:val="00843F5F"/>
    <w:rsid w:val="008447C7"/>
    <w:rsid w:val="00845AF9"/>
    <w:rsid w:val="008466C7"/>
    <w:rsid w:val="00846840"/>
    <w:rsid w:val="008505E0"/>
    <w:rsid w:val="00850FBE"/>
    <w:rsid w:val="00852994"/>
    <w:rsid w:val="0085365D"/>
    <w:rsid w:val="00855DA3"/>
    <w:rsid w:val="00861412"/>
    <w:rsid w:val="00861AAA"/>
    <w:rsid w:val="00864B8E"/>
    <w:rsid w:val="008664E4"/>
    <w:rsid w:val="00867A1B"/>
    <w:rsid w:val="0087224E"/>
    <w:rsid w:val="00873C09"/>
    <w:rsid w:val="0087670E"/>
    <w:rsid w:val="00876B36"/>
    <w:rsid w:val="008844C2"/>
    <w:rsid w:val="00886FA8"/>
    <w:rsid w:val="00891CA0"/>
    <w:rsid w:val="008928D4"/>
    <w:rsid w:val="00892E6F"/>
    <w:rsid w:val="008A025D"/>
    <w:rsid w:val="008A0345"/>
    <w:rsid w:val="008A08A7"/>
    <w:rsid w:val="008A1AEC"/>
    <w:rsid w:val="008A3AA1"/>
    <w:rsid w:val="008A4248"/>
    <w:rsid w:val="008A4324"/>
    <w:rsid w:val="008A762D"/>
    <w:rsid w:val="008A7686"/>
    <w:rsid w:val="008B03E8"/>
    <w:rsid w:val="008B0A09"/>
    <w:rsid w:val="008B1800"/>
    <w:rsid w:val="008B3F6A"/>
    <w:rsid w:val="008B43AF"/>
    <w:rsid w:val="008B6159"/>
    <w:rsid w:val="008B790B"/>
    <w:rsid w:val="008B7BCD"/>
    <w:rsid w:val="008C0183"/>
    <w:rsid w:val="008C0223"/>
    <w:rsid w:val="008C392A"/>
    <w:rsid w:val="008C51D6"/>
    <w:rsid w:val="008D0806"/>
    <w:rsid w:val="008D11F1"/>
    <w:rsid w:val="008D55C0"/>
    <w:rsid w:val="008E0432"/>
    <w:rsid w:val="008E29FD"/>
    <w:rsid w:val="008E2D00"/>
    <w:rsid w:val="008E345D"/>
    <w:rsid w:val="008E3523"/>
    <w:rsid w:val="008F0CA0"/>
    <w:rsid w:val="008F1AA9"/>
    <w:rsid w:val="008F35F6"/>
    <w:rsid w:val="008F4509"/>
    <w:rsid w:val="00902AE1"/>
    <w:rsid w:val="00911AA9"/>
    <w:rsid w:val="009129CD"/>
    <w:rsid w:val="00915180"/>
    <w:rsid w:val="00915B0B"/>
    <w:rsid w:val="00916042"/>
    <w:rsid w:val="00916611"/>
    <w:rsid w:val="00916F73"/>
    <w:rsid w:val="00920160"/>
    <w:rsid w:val="009208D1"/>
    <w:rsid w:val="009270FB"/>
    <w:rsid w:val="0092713D"/>
    <w:rsid w:val="00930320"/>
    <w:rsid w:val="00930534"/>
    <w:rsid w:val="00931CB1"/>
    <w:rsid w:val="00932696"/>
    <w:rsid w:val="009338F0"/>
    <w:rsid w:val="00933D4D"/>
    <w:rsid w:val="00934ED9"/>
    <w:rsid w:val="00940ECD"/>
    <w:rsid w:val="00942156"/>
    <w:rsid w:val="009429B6"/>
    <w:rsid w:val="00943402"/>
    <w:rsid w:val="00944E3F"/>
    <w:rsid w:val="00945459"/>
    <w:rsid w:val="00946A24"/>
    <w:rsid w:val="00954601"/>
    <w:rsid w:val="00955533"/>
    <w:rsid w:val="00956B9D"/>
    <w:rsid w:val="009624BA"/>
    <w:rsid w:val="00962A96"/>
    <w:rsid w:val="009634FD"/>
    <w:rsid w:val="00965252"/>
    <w:rsid w:val="00966404"/>
    <w:rsid w:val="009664A4"/>
    <w:rsid w:val="00966665"/>
    <w:rsid w:val="00966BE3"/>
    <w:rsid w:val="009711F5"/>
    <w:rsid w:val="0097326F"/>
    <w:rsid w:val="009733B9"/>
    <w:rsid w:val="0097462C"/>
    <w:rsid w:val="00976595"/>
    <w:rsid w:val="00977430"/>
    <w:rsid w:val="00977B3C"/>
    <w:rsid w:val="00981011"/>
    <w:rsid w:val="00982A55"/>
    <w:rsid w:val="009831D5"/>
    <w:rsid w:val="0098359D"/>
    <w:rsid w:val="00985422"/>
    <w:rsid w:val="00987E23"/>
    <w:rsid w:val="00991717"/>
    <w:rsid w:val="00993782"/>
    <w:rsid w:val="00994A3F"/>
    <w:rsid w:val="00995E10"/>
    <w:rsid w:val="00997FB9"/>
    <w:rsid w:val="009A0CD8"/>
    <w:rsid w:val="009A1100"/>
    <w:rsid w:val="009A1E5D"/>
    <w:rsid w:val="009A3089"/>
    <w:rsid w:val="009A3413"/>
    <w:rsid w:val="009A5488"/>
    <w:rsid w:val="009A59D9"/>
    <w:rsid w:val="009A6AA6"/>
    <w:rsid w:val="009A7A5B"/>
    <w:rsid w:val="009B02E5"/>
    <w:rsid w:val="009B3227"/>
    <w:rsid w:val="009B35DA"/>
    <w:rsid w:val="009B468A"/>
    <w:rsid w:val="009B5CA4"/>
    <w:rsid w:val="009B6E57"/>
    <w:rsid w:val="009C0B35"/>
    <w:rsid w:val="009C0D03"/>
    <w:rsid w:val="009C1D09"/>
    <w:rsid w:val="009C27FD"/>
    <w:rsid w:val="009C2990"/>
    <w:rsid w:val="009C6121"/>
    <w:rsid w:val="009C7971"/>
    <w:rsid w:val="009C7F28"/>
    <w:rsid w:val="009D0312"/>
    <w:rsid w:val="009D1257"/>
    <w:rsid w:val="009D29C1"/>
    <w:rsid w:val="009D4CF4"/>
    <w:rsid w:val="009D6D51"/>
    <w:rsid w:val="009D78E4"/>
    <w:rsid w:val="009E054E"/>
    <w:rsid w:val="009E0E75"/>
    <w:rsid w:val="009E1AD3"/>
    <w:rsid w:val="009E2AC7"/>
    <w:rsid w:val="009E33D2"/>
    <w:rsid w:val="009E5DA8"/>
    <w:rsid w:val="009E75C1"/>
    <w:rsid w:val="009E7963"/>
    <w:rsid w:val="009E7E51"/>
    <w:rsid w:val="009F20F8"/>
    <w:rsid w:val="009F21D8"/>
    <w:rsid w:val="009F22CD"/>
    <w:rsid w:val="009F23F5"/>
    <w:rsid w:val="009F3CBA"/>
    <w:rsid w:val="009F3EEA"/>
    <w:rsid w:val="00A01E48"/>
    <w:rsid w:val="00A05546"/>
    <w:rsid w:val="00A06AF8"/>
    <w:rsid w:val="00A0747D"/>
    <w:rsid w:val="00A10D8D"/>
    <w:rsid w:val="00A12F84"/>
    <w:rsid w:val="00A20E2F"/>
    <w:rsid w:val="00A20F5E"/>
    <w:rsid w:val="00A2339F"/>
    <w:rsid w:val="00A234F0"/>
    <w:rsid w:val="00A246B5"/>
    <w:rsid w:val="00A24F18"/>
    <w:rsid w:val="00A30384"/>
    <w:rsid w:val="00A312F2"/>
    <w:rsid w:val="00A3161D"/>
    <w:rsid w:val="00A333CF"/>
    <w:rsid w:val="00A338EF"/>
    <w:rsid w:val="00A417E1"/>
    <w:rsid w:val="00A4235C"/>
    <w:rsid w:val="00A44781"/>
    <w:rsid w:val="00A44E7D"/>
    <w:rsid w:val="00A5170D"/>
    <w:rsid w:val="00A52AD1"/>
    <w:rsid w:val="00A52B76"/>
    <w:rsid w:val="00A569DC"/>
    <w:rsid w:val="00A56B51"/>
    <w:rsid w:val="00A61663"/>
    <w:rsid w:val="00A63964"/>
    <w:rsid w:val="00A67C07"/>
    <w:rsid w:val="00A71BBB"/>
    <w:rsid w:val="00A7352B"/>
    <w:rsid w:val="00A75AC0"/>
    <w:rsid w:val="00A75F10"/>
    <w:rsid w:val="00A813FC"/>
    <w:rsid w:val="00A87E87"/>
    <w:rsid w:val="00A904B2"/>
    <w:rsid w:val="00A9145D"/>
    <w:rsid w:val="00A9166A"/>
    <w:rsid w:val="00AA0D1E"/>
    <w:rsid w:val="00AA12E5"/>
    <w:rsid w:val="00AA1656"/>
    <w:rsid w:val="00AA64EE"/>
    <w:rsid w:val="00AA6BE9"/>
    <w:rsid w:val="00AB1242"/>
    <w:rsid w:val="00AB48BD"/>
    <w:rsid w:val="00AC037B"/>
    <w:rsid w:val="00AC2108"/>
    <w:rsid w:val="00AC3784"/>
    <w:rsid w:val="00AC4755"/>
    <w:rsid w:val="00AC504F"/>
    <w:rsid w:val="00AC57A0"/>
    <w:rsid w:val="00AC596A"/>
    <w:rsid w:val="00AD0444"/>
    <w:rsid w:val="00AD1996"/>
    <w:rsid w:val="00AD28DC"/>
    <w:rsid w:val="00AD4933"/>
    <w:rsid w:val="00AD6EDD"/>
    <w:rsid w:val="00AD6F18"/>
    <w:rsid w:val="00AD6F88"/>
    <w:rsid w:val="00AE19E7"/>
    <w:rsid w:val="00AE1BC2"/>
    <w:rsid w:val="00AE4481"/>
    <w:rsid w:val="00AE745A"/>
    <w:rsid w:val="00AF05B6"/>
    <w:rsid w:val="00AF1306"/>
    <w:rsid w:val="00AF25CE"/>
    <w:rsid w:val="00AF2CFC"/>
    <w:rsid w:val="00AF4B72"/>
    <w:rsid w:val="00AF5A08"/>
    <w:rsid w:val="00AF7B45"/>
    <w:rsid w:val="00B00DDA"/>
    <w:rsid w:val="00B02806"/>
    <w:rsid w:val="00B045D2"/>
    <w:rsid w:val="00B04B62"/>
    <w:rsid w:val="00B0756E"/>
    <w:rsid w:val="00B12431"/>
    <w:rsid w:val="00B13059"/>
    <w:rsid w:val="00B134D8"/>
    <w:rsid w:val="00B138B3"/>
    <w:rsid w:val="00B14BD8"/>
    <w:rsid w:val="00B17BC5"/>
    <w:rsid w:val="00B17C3E"/>
    <w:rsid w:val="00B224A9"/>
    <w:rsid w:val="00B244D1"/>
    <w:rsid w:val="00B24516"/>
    <w:rsid w:val="00B2617D"/>
    <w:rsid w:val="00B26AAC"/>
    <w:rsid w:val="00B31238"/>
    <w:rsid w:val="00B31764"/>
    <w:rsid w:val="00B32B57"/>
    <w:rsid w:val="00B3459F"/>
    <w:rsid w:val="00B36810"/>
    <w:rsid w:val="00B3775F"/>
    <w:rsid w:val="00B40790"/>
    <w:rsid w:val="00B4266D"/>
    <w:rsid w:val="00B430D2"/>
    <w:rsid w:val="00B43F2C"/>
    <w:rsid w:val="00B44C2F"/>
    <w:rsid w:val="00B452AC"/>
    <w:rsid w:val="00B45F24"/>
    <w:rsid w:val="00B504BD"/>
    <w:rsid w:val="00B51DC1"/>
    <w:rsid w:val="00B51F27"/>
    <w:rsid w:val="00B54917"/>
    <w:rsid w:val="00B628E3"/>
    <w:rsid w:val="00B671D9"/>
    <w:rsid w:val="00B673FB"/>
    <w:rsid w:val="00B67D93"/>
    <w:rsid w:val="00B73C61"/>
    <w:rsid w:val="00B75FC6"/>
    <w:rsid w:val="00B76241"/>
    <w:rsid w:val="00B76928"/>
    <w:rsid w:val="00B80DA5"/>
    <w:rsid w:val="00B81BD0"/>
    <w:rsid w:val="00B83950"/>
    <w:rsid w:val="00B84312"/>
    <w:rsid w:val="00B852B2"/>
    <w:rsid w:val="00B92D50"/>
    <w:rsid w:val="00B92EA3"/>
    <w:rsid w:val="00B93088"/>
    <w:rsid w:val="00B93487"/>
    <w:rsid w:val="00B9372A"/>
    <w:rsid w:val="00B94339"/>
    <w:rsid w:val="00B97219"/>
    <w:rsid w:val="00BA062F"/>
    <w:rsid w:val="00BA248F"/>
    <w:rsid w:val="00BA3CFD"/>
    <w:rsid w:val="00BA5E4F"/>
    <w:rsid w:val="00BA624D"/>
    <w:rsid w:val="00BA6E85"/>
    <w:rsid w:val="00BB26A8"/>
    <w:rsid w:val="00BB2908"/>
    <w:rsid w:val="00BB306D"/>
    <w:rsid w:val="00BB489E"/>
    <w:rsid w:val="00BB732B"/>
    <w:rsid w:val="00BD47EA"/>
    <w:rsid w:val="00BD7795"/>
    <w:rsid w:val="00BE0EA9"/>
    <w:rsid w:val="00BE4A69"/>
    <w:rsid w:val="00BE5504"/>
    <w:rsid w:val="00BE74CC"/>
    <w:rsid w:val="00BF0257"/>
    <w:rsid w:val="00BF2128"/>
    <w:rsid w:val="00BF2393"/>
    <w:rsid w:val="00BF3B3E"/>
    <w:rsid w:val="00BF3CCA"/>
    <w:rsid w:val="00BF463C"/>
    <w:rsid w:val="00BF68DD"/>
    <w:rsid w:val="00BF70FB"/>
    <w:rsid w:val="00BF71FF"/>
    <w:rsid w:val="00C002BA"/>
    <w:rsid w:val="00C0505F"/>
    <w:rsid w:val="00C0696D"/>
    <w:rsid w:val="00C11082"/>
    <w:rsid w:val="00C112B0"/>
    <w:rsid w:val="00C12161"/>
    <w:rsid w:val="00C15161"/>
    <w:rsid w:val="00C1746E"/>
    <w:rsid w:val="00C20030"/>
    <w:rsid w:val="00C217EE"/>
    <w:rsid w:val="00C21998"/>
    <w:rsid w:val="00C21B90"/>
    <w:rsid w:val="00C24DA7"/>
    <w:rsid w:val="00C2600A"/>
    <w:rsid w:val="00C2758E"/>
    <w:rsid w:val="00C31691"/>
    <w:rsid w:val="00C349C9"/>
    <w:rsid w:val="00C35A8E"/>
    <w:rsid w:val="00C35D9D"/>
    <w:rsid w:val="00C37BE4"/>
    <w:rsid w:val="00C40B10"/>
    <w:rsid w:val="00C44817"/>
    <w:rsid w:val="00C45448"/>
    <w:rsid w:val="00C4631F"/>
    <w:rsid w:val="00C464A9"/>
    <w:rsid w:val="00C50166"/>
    <w:rsid w:val="00C51524"/>
    <w:rsid w:val="00C52153"/>
    <w:rsid w:val="00C52869"/>
    <w:rsid w:val="00C52B6C"/>
    <w:rsid w:val="00C61650"/>
    <w:rsid w:val="00C6168E"/>
    <w:rsid w:val="00C63D85"/>
    <w:rsid w:val="00C640C1"/>
    <w:rsid w:val="00C65165"/>
    <w:rsid w:val="00C6584E"/>
    <w:rsid w:val="00C66215"/>
    <w:rsid w:val="00C6635D"/>
    <w:rsid w:val="00C67966"/>
    <w:rsid w:val="00C72611"/>
    <w:rsid w:val="00C748B7"/>
    <w:rsid w:val="00C75CB1"/>
    <w:rsid w:val="00C77528"/>
    <w:rsid w:val="00C775E7"/>
    <w:rsid w:val="00C77CE7"/>
    <w:rsid w:val="00C8018B"/>
    <w:rsid w:val="00C824A9"/>
    <w:rsid w:val="00C829C3"/>
    <w:rsid w:val="00C82C96"/>
    <w:rsid w:val="00C845F9"/>
    <w:rsid w:val="00C846FC"/>
    <w:rsid w:val="00C84D0B"/>
    <w:rsid w:val="00C84E56"/>
    <w:rsid w:val="00C85723"/>
    <w:rsid w:val="00C85DA8"/>
    <w:rsid w:val="00C92A9D"/>
    <w:rsid w:val="00C92DEC"/>
    <w:rsid w:val="00CA0054"/>
    <w:rsid w:val="00CA14C5"/>
    <w:rsid w:val="00CA16F3"/>
    <w:rsid w:val="00CA45E7"/>
    <w:rsid w:val="00CA473A"/>
    <w:rsid w:val="00CB1926"/>
    <w:rsid w:val="00CB5763"/>
    <w:rsid w:val="00CB630A"/>
    <w:rsid w:val="00CC0B8D"/>
    <w:rsid w:val="00CC2A3B"/>
    <w:rsid w:val="00CC304E"/>
    <w:rsid w:val="00CC6365"/>
    <w:rsid w:val="00CC7E43"/>
    <w:rsid w:val="00CD41C4"/>
    <w:rsid w:val="00CD446E"/>
    <w:rsid w:val="00CD7698"/>
    <w:rsid w:val="00CD7FC0"/>
    <w:rsid w:val="00CE0B53"/>
    <w:rsid w:val="00CE4E8E"/>
    <w:rsid w:val="00CE590F"/>
    <w:rsid w:val="00CE6AE5"/>
    <w:rsid w:val="00CE6BD4"/>
    <w:rsid w:val="00CE706B"/>
    <w:rsid w:val="00CF1C96"/>
    <w:rsid w:val="00CF25D4"/>
    <w:rsid w:val="00CF27B0"/>
    <w:rsid w:val="00CF4433"/>
    <w:rsid w:val="00CF513E"/>
    <w:rsid w:val="00CF735F"/>
    <w:rsid w:val="00CF76EE"/>
    <w:rsid w:val="00CF7F55"/>
    <w:rsid w:val="00D00882"/>
    <w:rsid w:val="00D02C60"/>
    <w:rsid w:val="00D04B32"/>
    <w:rsid w:val="00D10B3F"/>
    <w:rsid w:val="00D111D0"/>
    <w:rsid w:val="00D11B8D"/>
    <w:rsid w:val="00D15FB1"/>
    <w:rsid w:val="00D21E2A"/>
    <w:rsid w:val="00D22778"/>
    <w:rsid w:val="00D234EE"/>
    <w:rsid w:val="00D33EBC"/>
    <w:rsid w:val="00D40304"/>
    <w:rsid w:val="00D43F8A"/>
    <w:rsid w:val="00D5155A"/>
    <w:rsid w:val="00D5390F"/>
    <w:rsid w:val="00D55119"/>
    <w:rsid w:val="00D61268"/>
    <w:rsid w:val="00D616EB"/>
    <w:rsid w:val="00D6305E"/>
    <w:rsid w:val="00D63DF4"/>
    <w:rsid w:val="00D66E5D"/>
    <w:rsid w:val="00D67CD4"/>
    <w:rsid w:val="00D73FD3"/>
    <w:rsid w:val="00D745A5"/>
    <w:rsid w:val="00D76D06"/>
    <w:rsid w:val="00D776D3"/>
    <w:rsid w:val="00D803E8"/>
    <w:rsid w:val="00D80AAE"/>
    <w:rsid w:val="00D80B4B"/>
    <w:rsid w:val="00D81C97"/>
    <w:rsid w:val="00D81CDE"/>
    <w:rsid w:val="00D82E40"/>
    <w:rsid w:val="00D85F0F"/>
    <w:rsid w:val="00D903D6"/>
    <w:rsid w:val="00D920DB"/>
    <w:rsid w:val="00D93633"/>
    <w:rsid w:val="00D94501"/>
    <w:rsid w:val="00D946D1"/>
    <w:rsid w:val="00D95D3E"/>
    <w:rsid w:val="00DA2D14"/>
    <w:rsid w:val="00DA3E07"/>
    <w:rsid w:val="00DA49A8"/>
    <w:rsid w:val="00DA64A5"/>
    <w:rsid w:val="00DB0773"/>
    <w:rsid w:val="00DB0F77"/>
    <w:rsid w:val="00DB3D7F"/>
    <w:rsid w:val="00DB7C24"/>
    <w:rsid w:val="00DC3335"/>
    <w:rsid w:val="00DD0785"/>
    <w:rsid w:val="00DD269D"/>
    <w:rsid w:val="00DD4D4B"/>
    <w:rsid w:val="00DD5EB2"/>
    <w:rsid w:val="00DD6E78"/>
    <w:rsid w:val="00DD7F14"/>
    <w:rsid w:val="00DE0AC4"/>
    <w:rsid w:val="00DE21A6"/>
    <w:rsid w:val="00DE577F"/>
    <w:rsid w:val="00DF0969"/>
    <w:rsid w:val="00DF5781"/>
    <w:rsid w:val="00DF7FE2"/>
    <w:rsid w:val="00E007B5"/>
    <w:rsid w:val="00E0134B"/>
    <w:rsid w:val="00E01397"/>
    <w:rsid w:val="00E03C04"/>
    <w:rsid w:val="00E05A63"/>
    <w:rsid w:val="00E06B2E"/>
    <w:rsid w:val="00E07F2E"/>
    <w:rsid w:val="00E1092C"/>
    <w:rsid w:val="00E10E2A"/>
    <w:rsid w:val="00E13DE7"/>
    <w:rsid w:val="00E20F3A"/>
    <w:rsid w:val="00E24F5E"/>
    <w:rsid w:val="00E2591E"/>
    <w:rsid w:val="00E26526"/>
    <w:rsid w:val="00E265EA"/>
    <w:rsid w:val="00E30743"/>
    <w:rsid w:val="00E32D05"/>
    <w:rsid w:val="00E3498C"/>
    <w:rsid w:val="00E3501F"/>
    <w:rsid w:val="00E35182"/>
    <w:rsid w:val="00E369D3"/>
    <w:rsid w:val="00E36E02"/>
    <w:rsid w:val="00E36E25"/>
    <w:rsid w:val="00E370C7"/>
    <w:rsid w:val="00E41191"/>
    <w:rsid w:val="00E41FB5"/>
    <w:rsid w:val="00E43A57"/>
    <w:rsid w:val="00E46EA8"/>
    <w:rsid w:val="00E473B5"/>
    <w:rsid w:val="00E50493"/>
    <w:rsid w:val="00E504CB"/>
    <w:rsid w:val="00E5151B"/>
    <w:rsid w:val="00E53D8C"/>
    <w:rsid w:val="00E54885"/>
    <w:rsid w:val="00E548E9"/>
    <w:rsid w:val="00E577BE"/>
    <w:rsid w:val="00E57BE0"/>
    <w:rsid w:val="00E57FC4"/>
    <w:rsid w:val="00E630B8"/>
    <w:rsid w:val="00E63207"/>
    <w:rsid w:val="00E63C07"/>
    <w:rsid w:val="00E659D4"/>
    <w:rsid w:val="00E65B7C"/>
    <w:rsid w:val="00E72AF1"/>
    <w:rsid w:val="00E76AC4"/>
    <w:rsid w:val="00E7748A"/>
    <w:rsid w:val="00E810EA"/>
    <w:rsid w:val="00E812EA"/>
    <w:rsid w:val="00E81A35"/>
    <w:rsid w:val="00E8349C"/>
    <w:rsid w:val="00E84415"/>
    <w:rsid w:val="00E86DE3"/>
    <w:rsid w:val="00E876E4"/>
    <w:rsid w:val="00E92401"/>
    <w:rsid w:val="00E9351C"/>
    <w:rsid w:val="00E93819"/>
    <w:rsid w:val="00E94EDE"/>
    <w:rsid w:val="00E95343"/>
    <w:rsid w:val="00E95617"/>
    <w:rsid w:val="00E9588C"/>
    <w:rsid w:val="00E964ED"/>
    <w:rsid w:val="00EA1256"/>
    <w:rsid w:val="00EA1ED9"/>
    <w:rsid w:val="00EA2229"/>
    <w:rsid w:val="00EA51A3"/>
    <w:rsid w:val="00EA58AF"/>
    <w:rsid w:val="00EB1D1B"/>
    <w:rsid w:val="00EB3851"/>
    <w:rsid w:val="00EB4476"/>
    <w:rsid w:val="00EB61D9"/>
    <w:rsid w:val="00EB71AF"/>
    <w:rsid w:val="00EB7423"/>
    <w:rsid w:val="00EC070F"/>
    <w:rsid w:val="00EC2EE9"/>
    <w:rsid w:val="00EC63BA"/>
    <w:rsid w:val="00ED3229"/>
    <w:rsid w:val="00ED6104"/>
    <w:rsid w:val="00ED6EA5"/>
    <w:rsid w:val="00EE026C"/>
    <w:rsid w:val="00EE0544"/>
    <w:rsid w:val="00EE056F"/>
    <w:rsid w:val="00EE0957"/>
    <w:rsid w:val="00EE0DEE"/>
    <w:rsid w:val="00EE11B5"/>
    <w:rsid w:val="00EE1657"/>
    <w:rsid w:val="00EE36E4"/>
    <w:rsid w:val="00EE457C"/>
    <w:rsid w:val="00EE6038"/>
    <w:rsid w:val="00EE6724"/>
    <w:rsid w:val="00EE7F7A"/>
    <w:rsid w:val="00EF2255"/>
    <w:rsid w:val="00EF309C"/>
    <w:rsid w:val="00EF3262"/>
    <w:rsid w:val="00EF3D9C"/>
    <w:rsid w:val="00EF42F0"/>
    <w:rsid w:val="00EF4A57"/>
    <w:rsid w:val="00EF53E6"/>
    <w:rsid w:val="00EF5CC0"/>
    <w:rsid w:val="00F0052A"/>
    <w:rsid w:val="00F007AC"/>
    <w:rsid w:val="00F019E8"/>
    <w:rsid w:val="00F04E7F"/>
    <w:rsid w:val="00F0538F"/>
    <w:rsid w:val="00F06E89"/>
    <w:rsid w:val="00F11416"/>
    <w:rsid w:val="00F14B97"/>
    <w:rsid w:val="00F14DE0"/>
    <w:rsid w:val="00F2017D"/>
    <w:rsid w:val="00F20AD9"/>
    <w:rsid w:val="00F20FF0"/>
    <w:rsid w:val="00F224DA"/>
    <w:rsid w:val="00F235CF"/>
    <w:rsid w:val="00F2450D"/>
    <w:rsid w:val="00F27687"/>
    <w:rsid w:val="00F307A8"/>
    <w:rsid w:val="00F31F3F"/>
    <w:rsid w:val="00F34F55"/>
    <w:rsid w:val="00F350B8"/>
    <w:rsid w:val="00F439FC"/>
    <w:rsid w:val="00F447BB"/>
    <w:rsid w:val="00F54665"/>
    <w:rsid w:val="00F56237"/>
    <w:rsid w:val="00F563E0"/>
    <w:rsid w:val="00F56CC9"/>
    <w:rsid w:val="00F57068"/>
    <w:rsid w:val="00F606B0"/>
    <w:rsid w:val="00F60D2B"/>
    <w:rsid w:val="00F662DB"/>
    <w:rsid w:val="00F666F0"/>
    <w:rsid w:val="00F67C8E"/>
    <w:rsid w:val="00F72B7D"/>
    <w:rsid w:val="00F767AF"/>
    <w:rsid w:val="00F82172"/>
    <w:rsid w:val="00F83457"/>
    <w:rsid w:val="00F83D76"/>
    <w:rsid w:val="00F863BB"/>
    <w:rsid w:val="00F87170"/>
    <w:rsid w:val="00F9044A"/>
    <w:rsid w:val="00F92334"/>
    <w:rsid w:val="00F945E5"/>
    <w:rsid w:val="00F94644"/>
    <w:rsid w:val="00F957A3"/>
    <w:rsid w:val="00F95DBF"/>
    <w:rsid w:val="00F965C6"/>
    <w:rsid w:val="00FA1A4D"/>
    <w:rsid w:val="00FA31F5"/>
    <w:rsid w:val="00FA6705"/>
    <w:rsid w:val="00FB05DC"/>
    <w:rsid w:val="00FB05F0"/>
    <w:rsid w:val="00FB1640"/>
    <w:rsid w:val="00FC0584"/>
    <w:rsid w:val="00FC2EFD"/>
    <w:rsid w:val="00FC3B43"/>
    <w:rsid w:val="00FC439B"/>
    <w:rsid w:val="00FC67B6"/>
    <w:rsid w:val="00FC6B2B"/>
    <w:rsid w:val="00FD21B2"/>
    <w:rsid w:val="00FD3A70"/>
    <w:rsid w:val="00FD5170"/>
    <w:rsid w:val="00FD5B99"/>
    <w:rsid w:val="00FD695E"/>
    <w:rsid w:val="00FD76E3"/>
    <w:rsid w:val="00FD77EC"/>
    <w:rsid w:val="00FE01CA"/>
    <w:rsid w:val="00FE1229"/>
    <w:rsid w:val="00FE12D6"/>
    <w:rsid w:val="00FE133E"/>
    <w:rsid w:val="00FE7434"/>
    <w:rsid w:val="00FE7B05"/>
    <w:rsid w:val="00FF07B9"/>
    <w:rsid w:val="00FF2D23"/>
    <w:rsid w:val="00FF5622"/>
    <w:rsid w:val="00FF5F54"/>
    <w:rsid w:val="00FF69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D90A74D-916D-43BC-9461-D6952574E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71B8"/>
    <w:rPr>
      <w:rFonts w:ascii="Times New Roman" w:hAnsi="Times New Roman"/>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66961"/>
    <w:rPr>
      <w:rFonts w:ascii="Times New Roman" w:hAnsi="Times New Roman"/>
      <w:sz w:val="24"/>
      <w:szCs w:val="22"/>
    </w:rPr>
  </w:style>
  <w:style w:type="paragraph" w:styleId="Header">
    <w:name w:val="header"/>
    <w:basedOn w:val="Normal"/>
    <w:link w:val="HeaderChar"/>
    <w:uiPriority w:val="99"/>
    <w:unhideWhenUsed/>
    <w:rsid w:val="00383C31"/>
    <w:pPr>
      <w:tabs>
        <w:tab w:val="center" w:pos="4680"/>
        <w:tab w:val="right" w:pos="9360"/>
      </w:tabs>
    </w:pPr>
  </w:style>
  <w:style w:type="character" w:customStyle="1" w:styleId="HeaderChar">
    <w:name w:val="Header Char"/>
    <w:basedOn w:val="DefaultParagraphFont"/>
    <w:link w:val="Header"/>
    <w:uiPriority w:val="99"/>
    <w:rsid w:val="00383C31"/>
    <w:rPr>
      <w:rFonts w:ascii="Times New Roman" w:hAnsi="Times New Roman"/>
      <w:sz w:val="24"/>
    </w:rPr>
  </w:style>
  <w:style w:type="paragraph" w:styleId="Footer">
    <w:name w:val="footer"/>
    <w:basedOn w:val="Normal"/>
    <w:link w:val="FooterChar"/>
    <w:uiPriority w:val="99"/>
    <w:unhideWhenUsed/>
    <w:rsid w:val="00383C31"/>
    <w:pPr>
      <w:tabs>
        <w:tab w:val="center" w:pos="4680"/>
        <w:tab w:val="right" w:pos="9360"/>
      </w:tabs>
      <w:jc w:val="center"/>
    </w:pPr>
  </w:style>
  <w:style w:type="character" w:customStyle="1" w:styleId="FooterChar">
    <w:name w:val="Footer Char"/>
    <w:basedOn w:val="DefaultParagraphFont"/>
    <w:link w:val="Footer"/>
    <w:uiPriority w:val="99"/>
    <w:rsid w:val="00383C31"/>
    <w:rPr>
      <w:rFonts w:ascii="Times New Roman" w:hAnsi="Times New Roman"/>
      <w:sz w:val="24"/>
    </w:rPr>
  </w:style>
  <w:style w:type="table" w:styleId="TableGrid">
    <w:name w:val="Table Grid"/>
    <w:basedOn w:val="TableNormal"/>
    <w:uiPriority w:val="59"/>
    <w:rsid w:val="00E65B7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1"/>
    <w:qFormat/>
    <w:rsid w:val="00E65B7C"/>
    <w:pPr>
      <w:ind w:left="720"/>
      <w:contextualSpacing/>
    </w:pPr>
  </w:style>
  <w:style w:type="paragraph" w:styleId="BalloonText">
    <w:name w:val="Balloon Text"/>
    <w:basedOn w:val="Normal"/>
    <w:link w:val="BalloonTextChar"/>
    <w:uiPriority w:val="99"/>
    <w:semiHidden/>
    <w:unhideWhenUsed/>
    <w:rsid w:val="003C523D"/>
    <w:rPr>
      <w:rFonts w:ascii="Tahoma" w:hAnsi="Tahoma" w:cs="Tahoma"/>
      <w:sz w:val="16"/>
      <w:szCs w:val="16"/>
    </w:rPr>
  </w:style>
  <w:style w:type="character" w:customStyle="1" w:styleId="BalloonTextChar">
    <w:name w:val="Balloon Text Char"/>
    <w:basedOn w:val="DefaultParagraphFont"/>
    <w:link w:val="BalloonText"/>
    <w:uiPriority w:val="99"/>
    <w:semiHidden/>
    <w:rsid w:val="003C523D"/>
    <w:rPr>
      <w:rFonts w:ascii="Tahoma" w:hAnsi="Tahoma" w:cs="Tahoma"/>
      <w:sz w:val="16"/>
      <w:szCs w:val="16"/>
    </w:rPr>
  </w:style>
  <w:style w:type="paragraph" w:styleId="Revision">
    <w:name w:val="Revision"/>
    <w:hidden/>
    <w:uiPriority w:val="99"/>
    <w:semiHidden/>
    <w:rsid w:val="00B32B57"/>
    <w:rPr>
      <w:rFonts w:ascii="Times New Roman" w:hAnsi="Times New Roman"/>
      <w:sz w:val="24"/>
      <w:szCs w:val="22"/>
    </w:rPr>
  </w:style>
  <w:style w:type="paragraph" w:styleId="FootnoteText">
    <w:name w:val="footnote text"/>
    <w:basedOn w:val="Normal"/>
    <w:link w:val="FootnoteTextChar"/>
    <w:uiPriority w:val="99"/>
    <w:semiHidden/>
    <w:unhideWhenUsed/>
    <w:rsid w:val="00260306"/>
    <w:rPr>
      <w:sz w:val="20"/>
      <w:szCs w:val="20"/>
    </w:rPr>
  </w:style>
  <w:style w:type="character" w:customStyle="1" w:styleId="FootnoteTextChar">
    <w:name w:val="Footnote Text Char"/>
    <w:basedOn w:val="DefaultParagraphFont"/>
    <w:link w:val="FootnoteText"/>
    <w:uiPriority w:val="99"/>
    <w:semiHidden/>
    <w:rsid w:val="00260306"/>
    <w:rPr>
      <w:rFonts w:ascii="Times New Roman" w:hAnsi="Times New Roman"/>
    </w:rPr>
  </w:style>
  <w:style w:type="character" w:styleId="FootnoteReference">
    <w:name w:val="footnote reference"/>
    <w:basedOn w:val="DefaultParagraphFont"/>
    <w:uiPriority w:val="99"/>
    <w:semiHidden/>
    <w:unhideWhenUsed/>
    <w:rsid w:val="00260306"/>
    <w:rPr>
      <w:vertAlign w:val="superscript"/>
    </w:rPr>
  </w:style>
  <w:style w:type="paragraph" w:customStyle="1" w:styleId="Default">
    <w:name w:val="Default"/>
    <w:rsid w:val="00127F98"/>
    <w:pPr>
      <w:autoSpaceDE w:val="0"/>
      <w:autoSpaceDN w:val="0"/>
      <w:adjustRightInd w:val="0"/>
    </w:pPr>
    <w:rPr>
      <w:rFonts w:ascii="Verdana" w:hAnsi="Verdana" w:cs="Verdana"/>
      <w:color w:val="000000"/>
      <w:sz w:val="24"/>
      <w:szCs w:val="24"/>
    </w:rPr>
  </w:style>
  <w:style w:type="character" w:customStyle="1" w:styleId="googqs-tidbit-0">
    <w:name w:val="goog_qs-tidbit-0"/>
    <w:basedOn w:val="DefaultParagraphFont"/>
    <w:rsid w:val="00CC7E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637841">
      <w:bodyDiv w:val="1"/>
      <w:marLeft w:val="0"/>
      <w:marRight w:val="0"/>
      <w:marTop w:val="0"/>
      <w:marBottom w:val="0"/>
      <w:divBdr>
        <w:top w:val="none" w:sz="0" w:space="0" w:color="auto"/>
        <w:left w:val="none" w:sz="0" w:space="0" w:color="auto"/>
        <w:bottom w:val="none" w:sz="0" w:space="0" w:color="auto"/>
        <w:right w:val="none" w:sz="0" w:space="0" w:color="auto"/>
      </w:divBdr>
      <w:divsChild>
        <w:div w:id="10021209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9906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428817845">
      <w:bodyDiv w:val="1"/>
      <w:marLeft w:val="0"/>
      <w:marRight w:val="0"/>
      <w:marTop w:val="0"/>
      <w:marBottom w:val="0"/>
      <w:divBdr>
        <w:top w:val="none" w:sz="0" w:space="0" w:color="auto"/>
        <w:left w:val="none" w:sz="0" w:space="0" w:color="auto"/>
        <w:bottom w:val="none" w:sz="0" w:space="0" w:color="auto"/>
        <w:right w:val="none" w:sz="0" w:space="0" w:color="auto"/>
      </w:divBdr>
    </w:div>
    <w:div w:id="516429013">
      <w:bodyDiv w:val="1"/>
      <w:marLeft w:val="0"/>
      <w:marRight w:val="0"/>
      <w:marTop w:val="0"/>
      <w:marBottom w:val="0"/>
      <w:divBdr>
        <w:top w:val="none" w:sz="0" w:space="0" w:color="auto"/>
        <w:left w:val="none" w:sz="0" w:space="0" w:color="auto"/>
        <w:bottom w:val="none" w:sz="0" w:space="0" w:color="auto"/>
        <w:right w:val="none" w:sz="0" w:space="0" w:color="auto"/>
      </w:divBdr>
    </w:div>
    <w:div w:id="801994474">
      <w:bodyDiv w:val="1"/>
      <w:marLeft w:val="0"/>
      <w:marRight w:val="0"/>
      <w:marTop w:val="0"/>
      <w:marBottom w:val="0"/>
      <w:divBdr>
        <w:top w:val="none" w:sz="0" w:space="0" w:color="auto"/>
        <w:left w:val="none" w:sz="0" w:space="0" w:color="auto"/>
        <w:bottom w:val="none" w:sz="0" w:space="0" w:color="auto"/>
        <w:right w:val="none" w:sz="0" w:space="0" w:color="auto"/>
      </w:divBdr>
    </w:div>
    <w:div w:id="909461421">
      <w:bodyDiv w:val="1"/>
      <w:marLeft w:val="0"/>
      <w:marRight w:val="0"/>
      <w:marTop w:val="0"/>
      <w:marBottom w:val="0"/>
      <w:divBdr>
        <w:top w:val="none" w:sz="0" w:space="0" w:color="auto"/>
        <w:left w:val="none" w:sz="0" w:space="0" w:color="auto"/>
        <w:bottom w:val="none" w:sz="0" w:space="0" w:color="auto"/>
        <w:right w:val="none" w:sz="0" w:space="0" w:color="auto"/>
      </w:divBdr>
    </w:div>
    <w:div w:id="1031149025">
      <w:bodyDiv w:val="1"/>
      <w:marLeft w:val="0"/>
      <w:marRight w:val="0"/>
      <w:marTop w:val="0"/>
      <w:marBottom w:val="0"/>
      <w:divBdr>
        <w:top w:val="none" w:sz="0" w:space="0" w:color="auto"/>
        <w:left w:val="none" w:sz="0" w:space="0" w:color="auto"/>
        <w:bottom w:val="none" w:sz="0" w:space="0" w:color="auto"/>
        <w:right w:val="none" w:sz="0" w:space="0" w:color="auto"/>
      </w:divBdr>
    </w:div>
    <w:div w:id="1105658098">
      <w:bodyDiv w:val="1"/>
      <w:marLeft w:val="0"/>
      <w:marRight w:val="0"/>
      <w:marTop w:val="0"/>
      <w:marBottom w:val="0"/>
      <w:divBdr>
        <w:top w:val="none" w:sz="0" w:space="0" w:color="auto"/>
        <w:left w:val="none" w:sz="0" w:space="0" w:color="auto"/>
        <w:bottom w:val="none" w:sz="0" w:space="0" w:color="auto"/>
        <w:right w:val="none" w:sz="0" w:space="0" w:color="auto"/>
      </w:divBdr>
    </w:div>
    <w:div w:id="1415123999">
      <w:bodyDiv w:val="1"/>
      <w:marLeft w:val="0"/>
      <w:marRight w:val="0"/>
      <w:marTop w:val="0"/>
      <w:marBottom w:val="0"/>
      <w:divBdr>
        <w:top w:val="none" w:sz="0" w:space="0" w:color="auto"/>
        <w:left w:val="none" w:sz="0" w:space="0" w:color="auto"/>
        <w:bottom w:val="none" w:sz="0" w:space="0" w:color="auto"/>
        <w:right w:val="none" w:sz="0" w:space="0" w:color="auto"/>
      </w:divBdr>
      <w:divsChild>
        <w:div w:id="1943340475">
          <w:marLeft w:val="0"/>
          <w:marRight w:val="0"/>
          <w:marTop w:val="0"/>
          <w:marBottom w:val="0"/>
          <w:divBdr>
            <w:top w:val="none" w:sz="0" w:space="0" w:color="auto"/>
            <w:left w:val="none" w:sz="0" w:space="0" w:color="auto"/>
            <w:bottom w:val="none" w:sz="0" w:space="0" w:color="auto"/>
            <w:right w:val="none" w:sz="0" w:space="0" w:color="auto"/>
          </w:divBdr>
        </w:div>
      </w:divsChild>
    </w:div>
    <w:div w:id="1710451461">
      <w:bodyDiv w:val="1"/>
      <w:marLeft w:val="0"/>
      <w:marRight w:val="0"/>
      <w:marTop w:val="0"/>
      <w:marBottom w:val="0"/>
      <w:divBdr>
        <w:top w:val="none" w:sz="0" w:space="0" w:color="auto"/>
        <w:left w:val="none" w:sz="0" w:space="0" w:color="auto"/>
        <w:bottom w:val="none" w:sz="0" w:space="0" w:color="auto"/>
        <w:right w:val="none" w:sz="0" w:space="0" w:color="auto"/>
      </w:divBdr>
    </w:div>
    <w:div w:id="1926647689">
      <w:bodyDiv w:val="1"/>
      <w:marLeft w:val="0"/>
      <w:marRight w:val="0"/>
      <w:marTop w:val="0"/>
      <w:marBottom w:val="0"/>
      <w:divBdr>
        <w:top w:val="none" w:sz="0" w:space="0" w:color="auto"/>
        <w:left w:val="none" w:sz="0" w:space="0" w:color="auto"/>
        <w:bottom w:val="none" w:sz="0" w:space="0" w:color="auto"/>
        <w:right w:val="none" w:sz="0" w:space="0" w:color="auto"/>
      </w:divBdr>
    </w:div>
    <w:div w:id="2028485105">
      <w:bodyDiv w:val="1"/>
      <w:marLeft w:val="0"/>
      <w:marRight w:val="0"/>
      <w:marTop w:val="0"/>
      <w:marBottom w:val="0"/>
      <w:divBdr>
        <w:top w:val="none" w:sz="0" w:space="0" w:color="auto"/>
        <w:left w:val="none" w:sz="0" w:space="0" w:color="auto"/>
        <w:bottom w:val="none" w:sz="0" w:space="0" w:color="auto"/>
        <w:right w:val="none" w:sz="0" w:space="0" w:color="auto"/>
      </w:divBdr>
    </w:div>
    <w:div w:id="2078942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FEEE75-64EA-400A-994E-95F8D4334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3000</Words>
  <Characters>17103</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Work Product Review Recommendations/Dispositions Template</vt:lpstr>
    </vt:vector>
  </TitlesOfParts>
  <Company>The MITRE Corporation</Company>
  <LinksUpToDate>false</LinksUpToDate>
  <CharactersWithSpaces>20063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Product Review Recommendations/Dispositions Template</dc:title>
  <dc:creator>MITRE</dc:creator>
  <cp:lastModifiedBy>Stephenson, Russell</cp:lastModifiedBy>
  <cp:revision>2</cp:revision>
  <cp:lastPrinted>2010-12-29T17:51:00Z</cp:lastPrinted>
  <dcterms:created xsi:type="dcterms:W3CDTF">2016-04-22T13:45:00Z</dcterms:created>
  <dcterms:modified xsi:type="dcterms:W3CDTF">2016-04-22T13:45:00Z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ITRE Sensitivity">
    <vt:lpwstr>Internal MITRE Information</vt:lpwstr>
  </property>
  <property fmtid="{D5CDD505-2E9C-101B-9397-08002B2CF9AE}" pid="4" name="_Contributor">
    <vt:lpwstr>Jasmine Faubert w/ minor updates</vt:lpwstr>
  </property>
  <property fmtid="{D5CDD505-2E9C-101B-9397-08002B2CF9AE}" pid="5" name="ContentType">
    <vt:lpwstr>MITRE Work</vt:lpwstr>
  </property>
  <property fmtid="{D5CDD505-2E9C-101B-9397-08002B2CF9AE}" pid="6" name="Release Statement">
    <vt:lpwstr>For Release to All Sponsors</vt:lpwstr>
  </property>
  <property fmtid="{D5CDD505-2E9C-101B-9397-08002B2CF9AE}" pid="7" name="ContentTypeId">
    <vt:lpwstr>0x010100823A99C636F7423283FB0D200866C61300D9EEB865781FE54AAB2B1289F48D3410</vt:lpwstr>
  </property>
</Properties>
</file>