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C2FFD" w14:textId="77777777" w:rsidR="001337E0" w:rsidRPr="00773152" w:rsidRDefault="001337E0" w:rsidP="001337E0">
      <w:pPr>
        <w:spacing w:after="0" w:line="276" w:lineRule="auto"/>
        <w:rPr>
          <w:rFonts w:ascii="Times New Roman" w:hAnsi="Times New Roman" w:cs="Times New Roman"/>
          <w:b/>
          <w:sz w:val="24"/>
          <w:szCs w:val="24"/>
        </w:rPr>
      </w:pPr>
      <w:bookmarkStart w:id="0" w:name="_GoBack"/>
      <w:bookmarkEnd w:id="0"/>
    </w:p>
    <w:p w14:paraId="6209B747" w14:textId="77777777" w:rsidR="001337E0" w:rsidRPr="00773152" w:rsidRDefault="001337E0" w:rsidP="001337E0">
      <w:pPr>
        <w:spacing w:after="0" w:line="276" w:lineRule="auto"/>
        <w:jc w:val="center"/>
        <w:rPr>
          <w:rFonts w:ascii="Times New Roman" w:hAnsi="Times New Roman" w:cs="Times New Roman"/>
          <w:b/>
          <w:sz w:val="24"/>
          <w:szCs w:val="24"/>
        </w:rPr>
      </w:pPr>
      <w:r w:rsidRPr="00773152">
        <w:rPr>
          <w:rFonts w:ascii="Times New Roman" w:hAnsi="Times New Roman" w:cs="Times New Roman"/>
          <w:b/>
          <w:sz w:val="24"/>
          <w:szCs w:val="24"/>
        </w:rPr>
        <w:t>Foreign Gifts and Contract Disclosures</w:t>
      </w:r>
    </w:p>
    <w:p w14:paraId="29C90BBE" w14:textId="77777777" w:rsidR="001337E0" w:rsidRPr="00773152" w:rsidRDefault="001337E0" w:rsidP="001337E0">
      <w:pPr>
        <w:spacing w:after="0" w:line="276" w:lineRule="auto"/>
        <w:jc w:val="center"/>
        <w:rPr>
          <w:rFonts w:ascii="Times New Roman" w:hAnsi="Times New Roman" w:cs="Times New Roman"/>
          <w:b/>
          <w:sz w:val="24"/>
          <w:szCs w:val="24"/>
        </w:rPr>
      </w:pPr>
      <w:r w:rsidRPr="00773152">
        <w:rPr>
          <w:rFonts w:ascii="Times New Roman" w:hAnsi="Times New Roman" w:cs="Times New Roman"/>
          <w:b/>
          <w:sz w:val="24"/>
          <w:szCs w:val="24"/>
        </w:rPr>
        <w:t xml:space="preserve"> Summary of Public Comments with Responses</w:t>
      </w:r>
    </w:p>
    <w:p w14:paraId="20D42F8C" w14:textId="77777777" w:rsidR="001337E0" w:rsidRPr="00773152" w:rsidRDefault="001337E0" w:rsidP="001337E0">
      <w:pPr>
        <w:spacing w:after="0" w:line="276" w:lineRule="auto"/>
        <w:jc w:val="center"/>
        <w:rPr>
          <w:rFonts w:ascii="Times New Roman" w:hAnsi="Times New Roman" w:cs="Times New Roman"/>
          <w:b/>
          <w:sz w:val="24"/>
          <w:szCs w:val="24"/>
        </w:rPr>
      </w:pPr>
    </w:p>
    <w:p w14:paraId="0730D831" w14:textId="77777777" w:rsidR="001337E0" w:rsidRPr="00773152" w:rsidRDefault="001337E0" w:rsidP="001337E0">
      <w:pPr>
        <w:spacing w:after="0" w:line="276" w:lineRule="auto"/>
        <w:jc w:val="center"/>
        <w:rPr>
          <w:rFonts w:ascii="Times New Roman" w:hAnsi="Times New Roman" w:cs="Times New Roman"/>
          <w:b/>
          <w:sz w:val="24"/>
          <w:szCs w:val="24"/>
        </w:rPr>
      </w:pPr>
      <w:r w:rsidRPr="00773152">
        <w:rPr>
          <w:rFonts w:ascii="Times New Roman" w:hAnsi="Times New Roman" w:cs="Times New Roman"/>
          <w:b/>
          <w:sz w:val="24"/>
          <w:szCs w:val="24"/>
        </w:rPr>
        <w:t>Introduction</w:t>
      </w:r>
    </w:p>
    <w:p w14:paraId="77E28A77" w14:textId="77777777" w:rsidR="001337E0" w:rsidRPr="00773152" w:rsidRDefault="001337E0" w:rsidP="001337E0">
      <w:pPr>
        <w:spacing w:after="0" w:line="276" w:lineRule="auto"/>
        <w:jc w:val="center"/>
        <w:rPr>
          <w:rFonts w:ascii="Times New Roman" w:hAnsi="Times New Roman" w:cs="Times New Roman"/>
          <w:b/>
          <w:sz w:val="24"/>
          <w:szCs w:val="24"/>
        </w:rPr>
      </w:pPr>
    </w:p>
    <w:p w14:paraId="5893EF8F" w14:textId="606A0919" w:rsidR="0086466C" w:rsidRPr="0086466C" w:rsidRDefault="001337E0" w:rsidP="0086466C">
      <w:pPr>
        <w:rPr>
          <w:rFonts w:ascii="Times New Roman" w:hAnsi="Times New Roman" w:cs="Times New Roman"/>
          <w:sz w:val="24"/>
          <w:szCs w:val="24"/>
        </w:rPr>
      </w:pPr>
      <w:r w:rsidRPr="00773152">
        <w:rPr>
          <w:rFonts w:ascii="Times New Roman" w:hAnsi="Times New Roman" w:cs="Times New Roman"/>
          <w:sz w:val="24"/>
          <w:szCs w:val="24"/>
        </w:rPr>
        <w:t>The U.S. Department of Education received forty</w:t>
      </w:r>
      <w:r w:rsidR="00632865" w:rsidRPr="00773152">
        <w:rPr>
          <w:rFonts w:ascii="Times New Roman" w:hAnsi="Times New Roman" w:cs="Times New Roman"/>
          <w:sz w:val="24"/>
          <w:szCs w:val="24"/>
        </w:rPr>
        <w:t>-</w:t>
      </w:r>
      <w:r w:rsidRPr="00773152">
        <w:rPr>
          <w:rFonts w:ascii="Times New Roman" w:hAnsi="Times New Roman" w:cs="Times New Roman"/>
          <w:sz w:val="24"/>
          <w:szCs w:val="24"/>
        </w:rPr>
        <w:t xml:space="preserve">one comments from individuals </w:t>
      </w:r>
      <w:r w:rsidR="005A403A">
        <w:rPr>
          <w:rFonts w:ascii="Times New Roman" w:hAnsi="Times New Roman" w:cs="Times New Roman"/>
          <w:sz w:val="24"/>
          <w:szCs w:val="24"/>
        </w:rPr>
        <w:t>on</w:t>
      </w:r>
      <w:r w:rsidRPr="00773152">
        <w:rPr>
          <w:rFonts w:ascii="Times New Roman" w:hAnsi="Times New Roman" w:cs="Times New Roman"/>
          <w:sz w:val="24"/>
          <w:szCs w:val="24"/>
        </w:rPr>
        <w:t xml:space="preserve"> the foreign gifts and contract disclosures information collection request</w:t>
      </w:r>
      <w:r w:rsidR="005A403A">
        <w:rPr>
          <w:rFonts w:ascii="Times New Roman" w:hAnsi="Times New Roman" w:cs="Times New Roman"/>
          <w:sz w:val="24"/>
          <w:szCs w:val="24"/>
        </w:rPr>
        <w:t>.</w:t>
      </w:r>
      <w:r w:rsidRPr="00773152">
        <w:rPr>
          <w:rFonts w:ascii="Times New Roman" w:hAnsi="Times New Roman" w:cs="Times New Roman"/>
          <w:sz w:val="24"/>
          <w:szCs w:val="24"/>
        </w:rPr>
        <w:t xml:space="preserve"> </w:t>
      </w:r>
      <w:r w:rsidR="005A403A">
        <w:rPr>
          <w:rFonts w:ascii="Times New Roman" w:hAnsi="Times New Roman" w:cs="Times New Roman"/>
          <w:sz w:val="24"/>
          <w:szCs w:val="24"/>
        </w:rPr>
        <w:t xml:space="preserve"> Below we group and respond to comments topically.</w:t>
      </w:r>
      <w:r w:rsidRPr="00773152">
        <w:rPr>
          <w:rFonts w:ascii="Times New Roman" w:hAnsi="Times New Roman" w:cs="Times New Roman"/>
          <w:sz w:val="24"/>
          <w:szCs w:val="24"/>
        </w:rPr>
        <w:t xml:space="preserve">  </w:t>
      </w:r>
      <w:r w:rsidR="0086466C">
        <w:rPr>
          <w:rFonts w:ascii="Times New Roman" w:hAnsi="Times New Roman" w:cs="Times New Roman"/>
          <w:sz w:val="24"/>
          <w:szCs w:val="24"/>
        </w:rPr>
        <w:t xml:space="preserve">We note that, if any question from the disclosure form is held invalid, the remainder of the questions will not be affected thereby.  </w:t>
      </w:r>
      <w:r w:rsidR="0057658A">
        <w:rPr>
          <w:rFonts w:ascii="Times New Roman" w:hAnsi="Times New Roman" w:cs="Times New Roman"/>
          <w:sz w:val="24"/>
          <w:szCs w:val="24"/>
        </w:rPr>
        <w:t>That is, we intend for questions on the form to be severable.</w:t>
      </w:r>
    </w:p>
    <w:p w14:paraId="56B24F2D" w14:textId="0F107188" w:rsidR="00D93D26" w:rsidRDefault="00942F9A" w:rsidP="00942F9A">
      <w:pPr>
        <w:spacing w:after="0" w:line="276" w:lineRule="auto"/>
        <w:rPr>
          <w:rFonts w:ascii="Times New Roman" w:hAnsi="Times New Roman" w:cs="Times New Roman"/>
          <w:sz w:val="24"/>
          <w:szCs w:val="24"/>
        </w:rPr>
      </w:pPr>
      <w:r w:rsidRPr="00942F9A">
        <w:rPr>
          <w:rFonts w:ascii="Times New Roman" w:hAnsi="Times New Roman" w:cs="Times New Roman"/>
          <w:b/>
          <w:sz w:val="24"/>
          <w:szCs w:val="24"/>
        </w:rPr>
        <w:t>Statutory Authority</w:t>
      </w:r>
    </w:p>
    <w:p w14:paraId="06275EB1" w14:textId="77777777" w:rsidR="00942F9A" w:rsidRDefault="00942F9A" w:rsidP="00476C4D">
      <w:pPr>
        <w:spacing w:after="0" w:line="276" w:lineRule="auto"/>
        <w:rPr>
          <w:rFonts w:ascii="Times New Roman" w:eastAsia="Times New Roman" w:hAnsi="Times New Roman" w:cs="Times New Roman"/>
          <w:b/>
          <w:sz w:val="24"/>
          <w:szCs w:val="24"/>
        </w:rPr>
      </w:pPr>
    </w:p>
    <w:p w14:paraId="2AD0108A" w14:textId="3279A1DA" w:rsidR="00C47E0B" w:rsidRDefault="00D93D2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Comments:</w:t>
      </w:r>
      <w:r>
        <w:rPr>
          <w:rFonts w:ascii="Times New Roman" w:eastAsia="Times New Roman" w:hAnsi="Times New Roman" w:cs="Times New Roman"/>
          <w:bCs/>
          <w:sz w:val="24"/>
          <w:szCs w:val="24"/>
        </w:rPr>
        <w:tab/>
        <w:t>Some commenters challenged the Department’s authority to collect information on</w:t>
      </w:r>
      <w:r w:rsidR="007B408D">
        <w:rPr>
          <w:rFonts w:ascii="Times New Roman" w:eastAsia="Times New Roman" w:hAnsi="Times New Roman" w:cs="Times New Roman"/>
          <w:bCs/>
          <w:sz w:val="24"/>
          <w:szCs w:val="24"/>
        </w:rPr>
        <w:t xml:space="preserve"> foreign gifts and contracts</w:t>
      </w:r>
      <w:r w:rsidR="00C47E0B">
        <w:rPr>
          <w:rFonts w:ascii="Times New Roman" w:eastAsia="Times New Roman" w:hAnsi="Times New Roman" w:cs="Times New Roman"/>
          <w:bCs/>
          <w:sz w:val="24"/>
          <w:szCs w:val="24"/>
        </w:rPr>
        <w:t xml:space="preserve"> arguing, </w:t>
      </w:r>
      <w:r w:rsidR="00C47E0B">
        <w:rPr>
          <w:rFonts w:ascii="Times New Roman" w:eastAsia="Times New Roman" w:hAnsi="Times New Roman" w:cs="Times New Roman"/>
          <w:bCs/>
          <w:i/>
          <w:iCs/>
          <w:sz w:val="24"/>
          <w:szCs w:val="24"/>
        </w:rPr>
        <w:t>inter alia,</w:t>
      </w:r>
      <w:r w:rsidR="00C47E0B">
        <w:rPr>
          <w:rFonts w:ascii="Times New Roman" w:eastAsia="Times New Roman" w:hAnsi="Times New Roman" w:cs="Times New Roman"/>
          <w:bCs/>
          <w:sz w:val="24"/>
          <w:szCs w:val="24"/>
        </w:rPr>
        <w:t xml:space="preserve"> </w:t>
      </w:r>
      <w:r w:rsidR="00F746B8">
        <w:rPr>
          <w:rFonts w:ascii="Times New Roman" w:eastAsia="Times New Roman" w:hAnsi="Times New Roman" w:cs="Times New Roman"/>
          <w:bCs/>
          <w:sz w:val="24"/>
          <w:szCs w:val="24"/>
        </w:rPr>
        <w:t>foreign source</w:t>
      </w:r>
      <w:r w:rsidR="00C47E0B">
        <w:rPr>
          <w:rFonts w:ascii="Times New Roman" w:eastAsia="Times New Roman" w:hAnsi="Times New Roman" w:cs="Times New Roman"/>
          <w:bCs/>
          <w:sz w:val="24"/>
          <w:szCs w:val="24"/>
        </w:rPr>
        <w:t>s other than foreign governments are entitled to</w:t>
      </w:r>
      <w:r w:rsidR="00F746B8">
        <w:rPr>
          <w:rFonts w:ascii="Times New Roman" w:eastAsia="Times New Roman" w:hAnsi="Times New Roman" w:cs="Times New Roman"/>
          <w:bCs/>
          <w:sz w:val="24"/>
          <w:szCs w:val="24"/>
        </w:rPr>
        <w:t xml:space="preserve"> anonymity. </w:t>
      </w:r>
      <w:r w:rsidR="00C47E0B">
        <w:rPr>
          <w:rFonts w:ascii="Times New Roman" w:eastAsia="Times New Roman" w:hAnsi="Times New Roman" w:cs="Times New Roman"/>
          <w:bCs/>
          <w:sz w:val="24"/>
          <w:szCs w:val="24"/>
        </w:rPr>
        <w:t xml:space="preserve">One commenter </w:t>
      </w:r>
      <w:r w:rsidR="00751225">
        <w:rPr>
          <w:rFonts w:ascii="Times New Roman" w:eastAsia="Times New Roman" w:hAnsi="Times New Roman" w:cs="Times New Roman"/>
          <w:bCs/>
          <w:sz w:val="24"/>
          <w:szCs w:val="24"/>
        </w:rPr>
        <w:t>challenged the Department’s statutory authority</w:t>
      </w:r>
      <w:r w:rsidR="00C47E0B">
        <w:rPr>
          <w:rFonts w:ascii="Times New Roman" w:eastAsia="Times New Roman" w:hAnsi="Times New Roman" w:cs="Times New Roman"/>
          <w:bCs/>
          <w:sz w:val="24"/>
          <w:szCs w:val="24"/>
        </w:rPr>
        <w:t xml:space="preserve">. </w:t>
      </w:r>
      <w:r w:rsidR="00F746B8">
        <w:rPr>
          <w:rFonts w:ascii="Times New Roman" w:eastAsia="Times New Roman" w:hAnsi="Times New Roman" w:cs="Times New Roman"/>
          <w:bCs/>
          <w:sz w:val="24"/>
          <w:szCs w:val="24"/>
        </w:rPr>
        <w:t xml:space="preserve">Another commenter </w:t>
      </w:r>
      <w:r w:rsidR="00C47E0B">
        <w:rPr>
          <w:rFonts w:ascii="Times New Roman" w:eastAsia="Times New Roman" w:hAnsi="Times New Roman" w:cs="Times New Roman"/>
          <w:bCs/>
          <w:sz w:val="24"/>
          <w:szCs w:val="24"/>
        </w:rPr>
        <w:t xml:space="preserve">argued the proposed information collection was within the Department’s authority and </w:t>
      </w:r>
      <w:r w:rsidR="00F746B8">
        <w:rPr>
          <w:rFonts w:ascii="Times New Roman" w:eastAsia="Times New Roman" w:hAnsi="Times New Roman" w:cs="Times New Roman"/>
          <w:bCs/>
          <w:sz w:val="24"/>
          <w:szCs w:val="24"/>
        </w:rPr>
        <w:t xml:space="preserve">supported the Department’s proposals, </w:t>
      </w:r>
      <w:r w:rsidR="00F746B8">
        <w:rPr>
          <w:rFonts w:ascii="Times New Roman" w:eastAsia="Times New Roman" w:hAnsi="Times New Roman" w:cs="Times New Roman"/>
          <w:bCs/>
          <w:i/>
          <w:iCs/>
          <w:sz w:val="24"/>
          <w:szCs w:val="24"/>
        </w:rPr>
        <w:t xml:space="preserve">inter alia, </w:t>
      </w:r>
      <w:r w:rsidR="00F746B8">
        <w:rPr>
          <w:rFonts w:ascii="Times New Roman" w:eastAsia="Times New Roman" w:hAnsi="Times New Roman" w:cs="Times New Roman"/>
          <w:bCs/>
          <w:sz w:val="24"/>
          <w:szCs w:val="24"/>
        </w:rPr>
        <w:t xml:space="preserve">to require </w:t>
      </w:r>
      <w:r w:rsidR="00F746B8" w:rsidRPr="00F746B8">
        <w:rPr>
          <w:rFonts w:ascii="Times New Roman" w:eastAsia="Times New Roman" w:hAnsi="Times New Roman" w:cs="Times New Roman"/>
          <w:bCs/>
          <w:sz w:val="24"/>
          <w:szCs w:val="24"/>
        </w:rPr>
        <w:t>institutions to disclose the name of the foreign source and to upload a copy of the gift or donation agreement,</w:t>
      </w:r>
      <w:r w:rsidR="00F746B8">
        <w:rPr>
          <w:rFonts w:ascii="Times New Roman" w:eastAsia="Times New Roman" w:hAnsi="Times New Roman" w:cs="Times New Roman"/>
          <w:bCs/>
          <w:sz w:val="24"/>
          <w:szCs w:val="24"/>
        </w:rPr>
        <w:t xml:space="preserve"> to protect </w:t>
      </w:r>
      <w:r w:rsidR="00463EE5">
        <w:rPr>
          <w:rFonts w:ascii="Times New Roman" w:eastAsia="Times New Roman" w:hAnsi="Times New Roman" w:cs="Times New Roman"/>
          <w:bCs/>
          <w:sz w:val="24"/>
          <w:szCs w:val="24"/>
        </w:rPr>
        <w:t>colleges and universities from undue foreign influence.</w:t>
      </w:r>
    </w:p>
    <w:p w14:paraId="139EC196" w14:textId="77777777" w:rsidR="00887127" w:rsidRDefault="00067624">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Response</w:t>
      </w:r>
      <w:r w:rsidR="00E95F9C">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 xml:space="preserve">  </w:t>
      </w:r>
      <w:r w:rsidR="00751225">
        <w:rPr>
          <w:rFonts w:ascii="Times New Roman" w:eastAsia="Times New Roman" w:hAnsi="Times New Roman" w:cs="Times New Roman"/>
          <w:bCs/>
          <w:sz w:val="24"/>
          <w:szCs w:val="24"/>
        </w:rPr>
        <w:t>T</w:t>
      </w:r>
      <w:r w:rsidR="00751225" w:rsidRPr="00751225">
        <w:rPr>
          <w:rFonts w:ascii="Times New Roman" w:eastAsia="Times New Roman" w:hAnsi="Times New Roman" w:cs="Times New Roman"/>
          <w:bCs/>
          <w:sz w:val="24"/>
          <w:szCs w:val="24"/>
        </w:rPr>
        <w:t xml:space="preserve">he Department’s </w:t>
      </w:r>
      <w:r w:rsidR="00751225">
        <w:rPr>
          <w:rFonts w:ascii="Times New Roman" w:eastAsia="Times New Roman" w:hAnsi="Times New Roman" w:cs="Times New Roman"/>
          <w:bCs/>
          <w:sz w:val="24"/>
          <w:szCs w:val="24"/>
        </w:rPr>
        <w:t xml:space="preserve">authority </w:t>
      </w:r>
      <w:r w:rsidR="00A653C6">
        <w:rPr>
          <w:rFonts w:ascii="Times New Roman" w:eastAsia="Times New Roman" w:hAnsi="Times New Roman" w:cs="Times New Roman"/>
          <w:bCs/>
          <w:sz w:val="24"/>
          <w:szCs w:val="24"/>
        </w:rPr>
        <w:t>with respect to any given action is</w:t>
      </w:r>
      <w:r w:rsidR="00751225">
        <w:rPr>
          <w:rFonts w:ascii="Times New Roman" w:eastAsia="Times New Roman" w:hAnsi="Times New Roman" w:cs="Times New Roman"/>
          <w:bCs/>
          <w:sz w:val="24"/>
          <w:szCs w:val="24"/>
        </w:rPr>
        <w:t xml:space="preserve"> </w:t>
      </w:r>
      <w:r w:rsidR="00751225" w:rsidRPr="00751225">
        <w:rPr>
          <w:rFonts w:ascii="Times New Roman" w:eastAsia="Times New Roman" w:hAnsi="Times New Roman" w:cs="Times New Roman"/>
          <w:bCs/>
          <w:sz w:val="24"/>
          <w:szCs w:val="24"/>
        </w:rPr>
        <w:t>prescribed by statutory language</w:t>
      </w:r>
      <w:r w:rsidR="008B6F21">
        <w:rPr>
          <w:rFonts w:ascii="Times New Roman" w:eastAsia="Times New Roman" w:hAnsi="Times New Roman" w:cs="Times New Roman"/>
          <w:bCs/>
          <w:sz w:val="24"/>
          <w:szCs w:val="24"/>
        </w:rPr>
        <w:t xml:space="preserve">, </w:t>
      </w:r>
      <w:r w:rsidR="00751225" w:rsidRPr="00751225">
        <w:rPr>
          <w:rFonts w:ascii="Times New Roman" w:eastAsia="Times New Roman" w:hAnsi="Times New Roman" w:cs="Times New Roman"/>
          <w:bCs/>
          <w:sz w:val="24"/>
          <w:szCs w:val="24"/>
        </w:rPr>
        <w:t>context</w:t>
      </w:r>
      <w:r w:rsidR="008B6F21">
        <w:rPr>
          <w:rFonts w:ascii="Times New Roman" w:eastAsia="Times New Roman" w:hAnsi="Times New Roman" w:cs="Times New Roman"/>
          <w:bCs/>
          <w:sz w:val="24"/>
          <w:szCs w:val="24"/>
        </w:rPr>
        <w:t>, and intent</w:t>
      </w:r>
      <w:r w:rsidR="00751225">
        <w:rPr>
          <w:rFonts w:ascii="Times New Roman" w:eastAsia="Times New Roman" w:hAnsi="Times New Roman" w:cs="Times New Roman"/>
          <w:bCs/>
          <w:sz w:val="24"/>
          <w:szCs w:val="24"/>
        </w:rPr>
        <w:t xml:space="preserve">. </w:t>
      </w:r>
      <w:r w:rsidR="00751225" w:rsidRPr="00751225">
        <w:rPr>
          <w:rFonts w:ascii="Times New Roman" w:eastAsia="Times New Roman" w:hAnsi="Times New Roman" w:cs="Times New Roman"/>
          <w:bCs/>
          <w:sz w:val="24"/>
          <w:szCs w:val="24"/>
        </w:rPr>
        <w:t xml:space="preserve"> If a statute is silent or ambiguous with respect to a specific issue, then </w:t>
      </w:r>
      <w:r w:rsidR="00A653C6">
        <w:rPr>
          <w:rFonts w:ascii="Times New Roman" w:eastAsia="Times New Roman" w:hAnsi="Times New Roman" w:cs="Times New Roman"/>
          <w:bCs/>
          <w:sz w:val="24"/>
          <w:szCs w:val="24"/>
        </w:rPr>
        <w:t xml:space="preserve">the Department’s </w:t>
      </w:r>
      <w:r w:rsidR="00751225" w:rsidRPr="00751225">
        <w:rPr>
          <w:rFonts w:ascii="Times New Roman" w:eastAsia="Times New Roman" w:hAnsi="Times New Roman" w:cs="Times New Roman"/>
          <w:bCs/>
          <w:sz w:val="24"/>
          <w:szCs w:val="24"/>
        </w:rPr>
        <w:t xml:space="preserve">interpretation is entitled to deference and the question becomes simply whether </w:t>
      </w:r>
      <w:r w:rsidR="00A653C6">
        <w:rPr>
          <w:rFonts w:ascii="Times New Roman" w:eastAsia="Times New Roman" w:hAnsi="Times New Roman" w:cs="Times New Roman"/>
          <w:bCs/>
          <w:sz w:val="24"/>
          <w:szCs w:val="24"/>
        </w:rPr>
        <w:t xml:space="preserve">government </w:t>
      </w:r>
      <w:r w:rsidR="00751225" w:rsidRPr="00751225">
        <w:rPr>
          <w:rFonts w:ascii="Times New Roman" w:eastAsia="Times New Roman" w:hAnsi="Times New Roman" w:cs="Times New Roman"/>
          <w:bCs/>
          <w:sz w:val="24"/>
          <w:szCs w:val="24"/>
        </w:rPr>
        <w:t>action is based on a permissible statutory construction</w:t>
      </w:r>
      <w:r w:rsidR="00A653C6">
        <w:rPr>
          <w:rFonts w:ascii="Times New Roman" w:eastAsia="Times New Roman" w:hAnsi="Times New Roman" w:cs="Times New Roman"/>
          <w:bCs/>
          <w:sz w:val="24"/>
          <w:szCs w:val="24"/>
        </w:rPr>
        <w:t>.</w:t>
      </w:r>
      <w:r w:rsidR="00A653C6">
        <w:rPr>
          <w:rStyle w:val="FootnoteReference"/>
          <w:rFonts w:ascii="Times New Roman" w:eastAsia="Times New Roman" w:hAnsi="Times New Roman" w:cs="Times New Roman"/>
          <w:bCs/>
          <w:sz w:val="24"/>
          <w:szCs w:val="24"/>
        </w:rPr>
        <w:footnoteReference w:id="1"/>
      </w:r>
      <w:r w:rsidR="008B6F21">
        <w:rPr>
          <w:rFonts w:ascii="Times New Roman" w:eastAsia="Times New Roman" w:hAnsi="Times New Roman" w:cs="Times New Roman"/>
          <w:bCs/>
          <w:sz w:val="24"/>
          <w:szCs w:val="24"/>
        </w:rPr>
        <w:t xml:space="preserve">  </w:t>
      </w:r>
    </w:p>
    <w:p w14:paraId="43838B77" w14:textId="7AA1B407" w:rsidR="00F24FDA" w:rsidRDefault="0001792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Section 117 </w:t>
      </w:r>
      <w:r w:rsidR="00E8018B" w:rsidRPr="00E8018B">
        <w:rPr>
          <w:rFonts w:ascii="Times New Roman" w:eastAsia="Times New Roman" w:hAnsi="Times New Roman" w:cs="Times New Roman"/>
          <w:bCs/>
          <w:sz w:val="24"/>
          <w:szCs w:val="24"/>
        </w:rPr>
        <w:t xml:space="preserve">is a disclosure statute requiring institutions to inform the public about certain gifts from and contracts with foreign sources and their U.S. agents.  </w:t>
      </w:r>
      <w:r w:rsidR="00CA69B8">
        <w:rPr>
          <w:rFonts w:ascii="Times New Roman" w:eastAsia="Times New Roman" w:hAnsi="Times New Roman" w:cs="Times New Roman"/>
          <w:bCs/>
          <w:sz w:val="24"/>
          <w:szCs w:val="24"/>
        </w:rPr>
        <w:t>It</w:t>
      </w:r>
      <w:r w:rsidR="008B6F21">
        <w:rPr>
          <w:rFonts w:ascii="Times New Roman" w:eastAsia="Times New Roman" w:hAnsi="Times New Roman" w:cs="Times New Roman"/>
          <w:bCs/>
          <w:sz w:val="24"/>
          <w:szCs w:val="24"/>
        </w:rPr>
        <w:t xml:space="preserve"> </w:t>
      </w:r>
      <w:r w:rsidR="00942F9A">
        <w:rPr>
          <w:rFonts w:ascii="Times New Roman" w:eastAsia="Times New Roman" w:hAnsi="Times New Roman" w:cs="Times New Roman"/>
          <w:bCs/>
          <w:sz w:val="24"/>
          <w:szCs w:val="24"/>
        </w:rPr>
        <w:t xml:space="preserve">specifies in </w:t>
      </w:r>
      <w:r w:rsidR="00942F9A" w:rsidRPr="00942F9A">
        <w:rPr>
          <w:rFonts w:ascii="Times New Roman" w:eastAsia="Times New Roman" w:hAnsi="Times New Roman" w:cs="Times New Roman"/>
          <w:bCs/>
          <w:sz w:val="24"/>
          <w:szCs w:val="24"/>
        </w:rPr>
        <w:t xml:space="preserve">20 U.S.C. § 1011f </w:t>
      </w:r>
      <w:r w:rsidR="00942F9A">
        <w:rPr>
          <w:rFonts w:ascii="Times New Roman" w:eastAsia="Times New Roman" w:hAnsi="Times New Roman" w:cs="Times New Roman"/>
          <w:bCs/>
          <w:sz w:val="24"/>
          <w:szCs w:val="24"/>
        </w:rPr>
        <w:t xml:space="preserve">(e) that </w:t>
      </w:r>
      <w:r w:rsidR="002840BB">
        <w:rPr>
          <w:rFonts w:ascii="Times New Roman" w:eastAsia="Times New Roman" w:hAnsi="Times New Roman" w:cs="Times New Roman"/>
          <w:bCs/>
          <w:sz w:val="24"/>
          <w:szCs w:val="24"/>
        </w:rPr>
        <w:t>“</w:t>
      </w:r>
      <w:r w:rsidR="00942F9A">
        <w:rPr>
          <w:rFonts w:ascii="Times New Roman" w:eastAsia="Times New Roman" w:hAnsi="Times New Roman" w:cs="Times New Roman"/>
          <w:bCs/>
          <w:sz w:val="24"/>
          <w:szCs w:val="24"/>
        </w:rPr>
        <w:t>all disclosure reports required by this section shall be public records open to inspection and copying during business hours</w:t>
      </w:r>
      <w:r w:rsidR="002840BB">
        <w:rPr>
          <w:rFonts w:ascii="Times New Roman" w:eastAsia="Times New Roman" w:hAnsi="Times New Roman" w:cs="Times New Roman"/>
          <w:bCs/>
          <w:sz w:val="24"/>
          <w:szCs w:val="24"/>
        </w:rPr>
        <w:t xml:space="preserve">.” </w:t>
      </w:r>
      <w:bookmarkStart w:id="1" w:name="_Hlk26975352"/>
      <w:r w:rsidR="002840BB">
        <w:rPr>
          <w:rFonts w:ascii="Times New Roman" w:eastAsia="Times New Roman" w:hAnsi="Times New Roman" w:cs="Times New Roman"/>
          <w:bCs/>
          <w:sz w:val="24"/>
          <w:szCs w:val="24"/>
        </w:rPr>
        <w:t xml:space="preserve">Section </w:t>
      </w:r>
      <w:r w:rsidR="002840BB" w:rsidRPr="002840BB">
        <w:rPr>
          <w:rFonts w:ascii="Times New Roman" w:eastAsia="Times New Roman" w:hAnsi="Times New Roman" w:cs="Times New Roman"/>
          <w:bCs/>
          <w:sz w:val="24"/>
          <w:szCs w:val="24"/>
        </w:rPr>
        <w:t xml:space="preserve">20 U.S.C. § 1011f </w:t>
      </w:r>
      <w:bookmarkEnd w:id="1"/>
      <w:r w:rsidR="002840BB" w:rsidRPr="002840BB">
        <w:rPr>
          <w:rFonts w:ascii="Times New Roman" w:eastAsia="Times New Roman" w:hAnsi="Times New Roman" w:cs="Times New Roman"/>
          <w:bCs/>
          <w:sz w:val="24"/>
          <w:szCs w:val="24"/>
        </w:rPr>
        <w:t>(</w:t>
      </w:r>
      <w:r w:rsidR="007328A2">
        <w:rPr>
          <w:rFonts w:ascii="Times New Roman" w:eastAsia="Times New Roman" w:hAnsi="Times New Roman" w:cs="Times New Roman"/>
          <w:bCs/>
          <w:sz w:val="24"/>
          <w:szCs w:val="24"/>
        </w:rPr>
        <w:t xml:space="preserve">a)-(d) provides the </w:t>
      </w:r>
      <w:r w:rsidR="0062380A">
        <w:rPr>
          <w:rFonts w:ascii="Times New Roman" w:eastAsia="Times New Roman" w:hAnsi="Times New Roman" w:cs="Times New Roman"/>
          <w:bCs/>
          <w:sz w:val="24"/>
          <w:szCs w:val="24"/>
        </w:rPr>
        <w:t>items</w:t>
      </w:r>
      <w:r w:rsidR="007328A2">
        <w:rPr>
          <w:rFonts w:ascii="Times New Roman" w:eastAsia="Times New Roman" w:hAnsi="Times New Roman" w:cs="Times New Roman"/>
          <w:bCs/>
          <w:sz w:val="24"/>
          <w:szCs w:val="24"/>
        </w:rPr>
        <w:t xml:space="preserve"> to include in the disclosure report </w:t>
      </w:r>
      <w:r w:rsidR="0062380A">
        <w:rPr>
          <w:rFonts w:ascii="Times New Roman" w:eastAsia="Times New Roman" w:hAnsi="Times New Roman" w:cs="Times New Roman"/>
          <w:bCs/>
          <w:sz w:val="24"/>
          <w:szCs w:val="24"/>
        </w:rPr>
        <w:t>as well as</w:t>
      </w:r>
      <w:r w:rsidR="007328A2">
        <w:rPr>
          <w:rFonts w:ascii="Times New Roman" w:eastAsia="Times New Roman" w:hAnsi="Times New Roman" w:cs="Times New Roman"/>
          <w:bCs/>
          <w:sz w:val="24"/>
          <w:szCs w:val="24"/>
        </w:rPr>
        <w:t xml:space="preserve"> related information.  </w:t>
      </w:r>
      <w:r w:rsidR="002840BB" w:rsidRPr="002840BB">
        <w:rPr>
          <w:rFonts w:ascii="Times New Roman" w:eastAsia="Times New Roman" w:hAnsi="Times New Roman" w:cs="Times New Roman"/>
          <w:bCs/>
          <w:sz w:val="24"/>
          <w:szCs w:val="24"/>
        </w:rPr>
        <w:t xml:space="preserve"> </w:t>
      </w:r>
      <w:r w:rsidR="000930CE">
        <w:rPr>
          <w:rFonts w:ascii="Times New Roman" w:eastAsia="Times New Roman" w:hAnsi="Times New Roman" w:cs="Times New Roman"/>
          <w:bCs/>
          <w:sz w:val="24"/>
          <w:szCs w:val="24"/>
        </w:rPr>
        <w:t>This</w:t>
      </w:r>
      <w:r w:rsidR="00146235">
        <w:rPr>
          <w:rFonts w:ascii="Times New Roman" w:eastAsia="Times New Roman" w:hAnsi="Times New Roman" w:cs="Times New Roman"/>
          <w:bCs/>
          <w:sz w:val="24"/>
          <w:szCs w:val="24"/>
        </w:rPr>
        <w:t xml:space="preserve"> collection </w:t>
      </w:r>
      <w:r w:rsidR="00501A6B">
        <w:rPr>
          <w:rFonts w:ascii="Times New Roman" w:eastAsia="Times New Roman" w:hAnsi="Times New Roman" w:cs="Times New Roman"/>
          <w:bCs/>
          <w:sz w:val="24"/>
          <w:szCs w:val="24"/>
        </w:rPr>
        <w:t xml:space="preserve">implements </w:t>
      </w:r>
      <w:r w:rsidR="000930CE">
        <w:rPr>
          <w:rFonts w:ascii="Times New Roman" w:eastAsia="Times New Roman" w:hAnsi="Times New Roman" w:cs="Times New Roman"/>
          <w:bCs/>
          <w:sz w:val="24"/>
          <w:szCs w:val="24"/>
        </w:rPr>
        <w:t>the</w:t>
      </w:r>
      <w:r w:rsidR="002F6C61">
        <w:rPr>
          <w:rFonts w:ascii="Times New Roman" w:eastAsia="Times New Roman" w:hAnsi="Times New Roman" w:cs="Times New Roman"/>
          <w:bCs/>
          <w:sz w:val="24"/>
          <w:szCs w:val="24"/>
        </w:rPr>
        <w:t>se</w:t>
      </w:r>
      <w:r w:rsidR="000930CE">
        <w:rPr>
          <w:rFonts w:ascii="Times New Roman" w:eastAsia="Times New Roman" w:hAnsi="Times New Roman" w:cs="Times New Roman"/>
          <w:bCs/>
          <w:sz w:val="24"/>
          <w:szCs w:val="24"/>
        </w:rPr>
        <w:t xml:space="preserve"> </w:t>
      </w:r>
      <w:r w:rsidR="00747EBA">
        <w:rPr>
          <w:rFonts w:ascii="Times New Roman" w:eastAsia="Times New Roman" w:hAnsi="Times New Roman" w:cs="Times New Roman"/>
          <w:bCs/>
          <w:sz w:val="24"/>
          <w:szCs w:val="24"/>
        </w:rPr>
        <w:t>section</w:t>
      </w:r>
      <w:r w:rsidR="002F6C61">
        <w:rPr>
          <w:rFonts w:ascii="Times New Roman" w:eastAsia="Times New Roman" w:hAnsi="Times New Roman" w:cs="Times New Roman"/>
          <w:bCs/>
          <w:sz w:val="24"/>
          <w:szCs w:val="24"/>
        </w:rPr>
        <w:t>s</w:t>
      </w:r>
      <w:r w:rsidR="00FE6754">
        <w:rPr>
          <w:rFonts w:ascii="Times New Roman" w:eastAsia="Times New Roman" w:hAnsi="Times New Roman" w:cs="Times New Roman"/>
          <w:bCs/>
          <w:sz w:val="24"/>
          <w:szCs w:val="24"/>
        </w:rPr>
        <w:t xml:space="preserve"> and make</w:t>
      </w:r>
      <w:r w:rsidR="00E8018B">
        <w:rPr>
          <w:rFonts w:ascii="Times New Roman" w:eastAsia="Times New Roman" w:hAnsi="Times New Roman" w:cs="Times New Roman"/>
          <w:bCs/>
          <w:sz w:val="24"/>
          <w:szCs w:val="24"/>
        </w:rPr>
        <w:t>s t</w:t>
      </w:r>
      <w:r w:rsidR="003D33B1">
        <w:rPr>
          <w:rFonts w:ascii="Times New Roman" w:eastAsia="Times New Roman" w:hAnsi="Times New Roman" w:cs="Times New Roman"/>
          <w:bCs/>
          <w:sz w:val="24"/>
          <w:szCs w:val="24"/>
        </w:rPr>
        <w:t xml:space="preserve">he disclosure report </w:t>
      </w:r>
      <w:r w:rsidR="00F23F8A">
        <w:rPr>
          <w:rFonts w:ascii="Times New Roman" w:eastAsia="Times New Roman" w:hAnsi="Times New Roman" w:cs="Times New Roman"/>
          <w:bCs/>
          <w:sz w:val="24"/>
          <w:szCs w:val="24"/>
        </w:rPr>
        <w:t xml:space="preserve">public pursuant to </w:t>
      </w:r>
      <w:r w:rsidR="00332F51" w:rsidRPr="00332F51">
        <w:rPr>
          <w:rFonts w:ascii="Times New Roman" w:eastAsia="Times New Roman" w:hAnsi="Times New Roman" w:cs="Times New Roman"/>
          <w:bCs/>
          <w:sz w:val="24"/>
          <w:szCs w:val="24"/>
        </w:rPr>
        <w:t>§ 1011f (e</w:t>
      </w:r>
      <w:r w:rsidR="003E29FA">
        <w:rPr>
          <w:rFonts w:ascii="Times New Roman" w:eastAsia="Times New Roman" w:hAnsi="Times New Roman" w:cs="Times New Roman"/>
          <w:bCs/>
          <w:sz w:val="24"/>
          <w:szCs w:val="24"/>
        </w:rPr>
        <w:t>)</w:t>
      </w:r>
      <w:r w:rsidR="00754695">
        <w:rPr>
          <w:rFonts w:ascii="Times New Roman" w:eastAsia="Times New Roman" w:hAnsi="Times New Roman" w:cs="Times New Roman"/>
          <w:bCs/>
          <w:sz w:val="24"/>
          <w:szCs w:val="24"/>
        </w:rPr>
        <w:t>.</w:t>
      </w:r>
      <w:r w:rsidR="003E29FA">
        <w:rPr>
          <w:rFonts w:ascii="Times New Roman" w:eastAsia="Times New Roman" w:hAnsi="Times New Roman" w:cs="Times New Roman"/>
          <w:bCs/>
          <w:sz w:val="24"/>
          <w:szCs w:val="24"/>
        </w:rPr>
        <w:t xml:space="preserve"> </w:t>
      </w:r>
    </w:p>
    <w:p w14:paraId="7E46601D" w14:textId="62D2623D" w:rsidR="00913779" w:rsidRDefault="00491F2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addition to </w:t>
      </w:r>
      <w:r w:rsidR="001F5204">
        <w:rPr>
          <w:rFonts w:ascii="Times New Roman" w:eastAsia="Times New Roman" w:hAnsi="Times New Roman" w:cs="Times New Roman"/>
          <w:bCs/>
          <w:sz w:val="24"/>
          <w:szCs w:val="24"/>
        </w:rPr>
        <w:t xml:space="preserve">requiring institutions to file disclosure reports, </w:t>
      </w:r>
      <w:r w:rsidR="00613517">
        <w:rPr>
          <w:rFonts w:ascii="Times New Roman" w:eastAsia="Times New Roman" w:hAnsi="Times New Roman" w:cs="Times New Roman"/>
          <w:bCs/>
          <w:sz w:val="24"/>
          <w:szCs w:val="24"/>
        </w:rPr>
        <w:t xml:space="preserve">Section 117 </w:t>
      </w:r>
      <w:r w:rsidR="00982DAD">
        <w:rPr>
          <w:rFonts w:ascii="Times New Roman" w:eastAsia="Times New Roman" w:hAnsi="Times New Roman" w:cs="Times New Roman"/>
          <w:bCs/>
          <w:sz w:val="24"/>
          <w:szCs w:val="24"/>
        </w:rPr>
        <w:t xml:space="preserve">includes an </w:t>
      </w:r>
      <w:r w:rsidR="00613517">
        <w:rPr>
          <w:rFonts w:ascii="Times New Roman" w:eastAsia="Times New Roman" w:hAnsi="Times New Roman" w:cs="Times New Roman"/>
          <w:bCs/>
          <w:sz w:val="24"/>
          <w:szCs w:val="24"/>
        </w:rPr>
        <w:t xml:space="preserve">enforcement section, </w:t>
      </w:r>
      <w:r w:rsidR="00FA14D5" w:rsidRPr="00FA14D5">
        <w:rPr>
          <w:rFonts w:ascii="Times New Roman" w:eastAsia="Times New Roman" w:hAnsi="Times New Roman" w:cs="Times New Roman"/>
          <w:bCs/>
          <w:sz w:val="24"/>
          <w:szCs w:val="24"/>
        </w:rPr>
        <w:t>20 U.S.C. § 1011f (f)</w:t>
      </w:r>
      <w:r w:rsidR="00613517">
        <w:rPr>
          <w:rFonts w:ascii="Times New Roman" w:eastAsia="Times New Roman" w:hAnsi="Times New Roman" w:cs="Times New Roman"/>
          <w:bCs/>
          <w:sz w:val="24"/>
          <w:szCs w:val="24"/>
        </w:rPr>
        <w:t>,</w:t>
      </w:r>
      <w:r w:rsidR="00823082">
        <w:rPr>
          <w:rFonts w:ascii="Times New Roman" w:eastAsia="Times New Roman" w:hAnsi="Times New Roman" w:cs="Times New Roman"/>
          <w:bCs/>
          <w:sz w:val="24"/>
          <w:szCs w:val="24"/>
        </w:rPr>
        <w:t xml:space="preserve"> </w:t>
      </w:r>
      <w:r w:rsidR="00167DE7">
        <w:rPr>
          <w:rFonts w:ascii="Times New Roman" w:eastAsia="Times New Roman" w:hAnsi="Times New Roman" w:cs="Times New Roman"/>
          <w:bCs/>
          <w:sz w:val="24"/>
          <w:szCs w:val="24"/>
        </w:rPr>
        <w:t xml:space="preserve">under </w:t>
      </w:r>
      <w:r w:rsidR="00823082">
        <w:rPr>
          <w:rFonts w:ascii="Times New Roman" w:eastAsia="Times New Roman" w:hAnsi="Times New Roman" w:cs="Times New Roman"/>
          <w:bCs/>
          <w:sz w:val="24"/>
          <w:szCs w:val="24"/>
        </w:rPr>
        <w:t xml:space="preserve">which </w:t>
      </w:r>
      <w:r w:rsidR="00913779">
        <w:rPr>
          <w:rFonts w:ascii="Times New Roman" w:eastAsia="Times New Roman" w:hAnsi="Times New Roman" w:cs="Times New Roman"/>
          <w:bCs/>
          <w:sz w:val="24"/>
          <w:szCs w:val="24"/>
        </w:rPr>
        <w:t xml:space="preserve">the Department </w:t>
      </w:r>
      <w:r w:rsidR="007F6D1F">
        <w:rPr>
          <w:rFonts w:ascii="Times New Roman" w:eastAsia="Times New Roman" w:hAnsi="Times New Roman" w:cs="Times New Roman"/>
          <w:bCs/>
          <w:sz w:val="24"/>
          <w:szCs w:val="24"/>
        </w:rPr>
        <w:t>determine</w:t>
      </w:r>
      <w:r w:rsidR="00660111">
        <w:rPr>
          <w:rFonts w:ascii="Times New Roman" w:eastAsia="Times New Roman" w:hAnsi="Times New Roman" w:cs="Times New Roman"/>
          <w:bCs/>
          <w:sz w:val="24"/>
          <w:szCs w:val="24"/>
        </w:rPr>
        <w:t>s</w:t>
      </w:r>
      <w:r w:rsidR="004C460C">
        <w:rPr>
          <w:rFonts w:ascii="Times New Roman" w:eastAsia="Times New Roman" w:hAnsi="Times New Roman" w:cs="Times New Roman"/>
          <w:bCs/>
          <w:sz w:val="24"/>
          <w:szCs w:val="24"/>
        </w:rPr>
        <w:t xml:space="preserve"> </w:t>
      </w:r>
      <w:r w:rsidR="00FD54FC">
        <w:rPr>
          <w:rFonts w:ascii="Times New Roman" w:eastAsia="Times New Roman" w:hAnsi="Times New Roman" w:cs="Times New Roman"/>
          <w:bCs/>
          <w:sz w:val="24"/>
          <w:szCs w:val="24"/>
        </w:rPr>
        <w:t>when “an institution has failed to comply with the requ</w:t>
      </w:r>
      <w:r w:rsidR="001C0209">
        <w:rPr>
          <w:rFonts w:ascii="Times New Roman" w:eastAsia="Times New Roman" w:hAnsi="Times New Roman" w:cs="Times New Roman"/>
          <w:bCs/>
          <w:sz w:val="24"/>
          <w:szCs w:val="24"/>
        </w:rPr>
        <w:t>ire</w:t>
      </w:r>
      <w:r w:rsidR="008D4534">
        <w:rPr>
          <w:rFonts w:ascii="Times New Roman" w:eastAsia="Times New Roman" w:hAnsi="Times New Roman" w:cs="Times New Roman"/>
          <w:bCs/>
          <w:sz w:val="24"/>
          <w:szCs w:val="24"/>
        </w:rPr>
        <w:t>ments of the Act</w:t>
      </w:r>
      <w:r w:rsidR="00903E96">
        <w:rPr>
          <w:rFonts w:ascii="Times New Roman" w:eastAsia="Times New Roman" w:hAnsi="Times New Roman" w:cs="Times New Roman"/>
          <w:bCs/>
          <w:sz w:val="24"/>
          <w:szCs w:val="24"/>
        </w:rPr>
        <w:t>.</w:t>
      </w:r>
      <w:r w:rsidR="00C333EB">
        <w:rPr>
          <w:rFonts w:ascii="Times New Roman" w:eastAsia="Times New Roman" w:hAnsi="Times New Roman" w:cs="Times New Roman"/>
          <w:bCs/>
          <w:sz w:val="24"/>
          <w:szCs w:val="24"/>
        </w:rPr>
        <w:t>”</w:t>
      </w:r>
    </w:p>
    <w:p w14:paraId="248A08CA" w14:textId="3FC80557" w:rsidR="00805E34" w:rsidRDefault="00805E34" w:rsidP="00F56926">
      <w:pPr>
        <w:rPr>
          <w:rFonts w:ascii="Times New Roman" w:hAnsi="Times New Roman" w:cs="Times New Roman"/>
          <w:sz w:val="24"/>
          <w:szCs w:val="24"/>
        </w:rPr>
      </w:pPr>
      <w:bookmarkStart w:id="2" w:name="_Hlk26955622"/>
      <w:r>
        <w:rPr>
          <w:rFonts w:ascii="Times New Roman" w:hAnsi="Times New Roman" w:cs="Times New Roman"/>
          <w:color w:val="000000"/>
          <w:sz w:val="24"/>
          <w:szCs w:val="24"/>
        </w:rPr>
        <w:t xml:space="preserve">Reports by the Government Accountability Office, Congress, and the Department itself confirm institutions have generally failed to comply with Section 117 by either underreporting gifts from </w:t>
      </w:r>
      <w:r>
        <w:rPr>
          <w:rFonts w:ascii="Times New Roman" w:hAnsi="Times New Roman" w:cs="Times New Roman"/>
          <w:color w:val="000000"/>
          <w:sz w:val="24"/>
          <w:szCs w:val="24"/>
        </w:rPr>
        <w:lastRenderedPageBreak/>
        <w:t xml:space="preserve">or contracts with foreign sources, or by failing to report entirely.  </w:t>
      </w:r>
      <w:r>
        <w:rPr>
          <w:rFonts w:ascii="Times New Roman" w:hAnsi="Times New Roman" w:cs="Times New Roman"/>
          <w:i/>
          <w:iCs/>
          <w:sz w:val="24"/>
          <w:szCs w:val="24"/>
        </w:rPr>
        <w:t>See</w:t>
      </w:r>
      <w:r w:rsidR="0070320A">
        <w:rPr>
          <w:rFonts w:ascii="Times New Roman" w:hAnsi="Times New Roman" w:cs="Times New Roman"/>
          <w:i/>
          <w:iCs/>
          <w:sz w:val="24"/>
          <w:szCs w:val="24"/>
        </w:rPr>
        <w:t>, e.g.,</w:t>
      </w:r>
      <w:r>
        <w:rPr>
          <w:rFonts w:ascii="Times New Roman" w:hAnsi="Times New Roman" w:cs="Times New Roman"/>
          <w:i/>
          <w:iCs/>
          <w:sz w:val="24"/>
          <w:szCs w:val="24"/>
        </w:rPr>
        <w:t xml:space="preserve"> CHINA’S IMPACT ON THE U.S. EDUCATION SYSTEM, </w:t>
      </w:r>
      <w:r>
        <w:rPr>
          <w:rFonts w:ascii="Times New Roman" w:hAnsi="Times New Roman" w:cs="Times New Roman"/>
          <w:sz w:val="24"/>
          <w:szCs w:val="24"/>
        </w:rPr>
        <w:t xml:space="preserve">Staff Report, Permanent Subcommittee on Investigations, United States Senate at 1, 3, 5, 70-77 (Feb. 2019) available at </w:t>
      </w:r>
      <w:hyperlink r:id="rId12" w:history="1">
        <w:r>
          <w:rPr>
            <w:rStyle w:val="Hyperlink"/>
            <w:rFonts w:ascii="Times New Roman" w:hAnsi="Times New Roman" w:cs="Times New Roman"/>
            <w:sz w:val="24"/>
            <w:szCs w:val="24"/>
          </w:rPr>
          <w:t>https://www.hsgac.senate.gov/imo/media/doc/PSI%20Report%20China's%20Impact%20on%20the%20US%20Education%20System.pdf</w:t>
        </w:r>
      </w:hyperlink>
      <w:r>
        <w:rPr>
          <w:rFonts w:ascii="Times New Roman" w:hAnsi="Times New Roman" w:cs="Times New Roman"/>
          <w:sz w:val="24"/>
          <w:szCs w:val="24"/>
        </w:rPr>
        <w:t xml:space="preserve"> (“Despite [the disclosure requirement at 20 U.S.C. 1011f], nearly 70 percent of U.S. schools that received more than $250,000 from Hanban failed to properly report that amount to the Department of Education…Foreign government spending on U.S. schools is effectively a black hole.”).  </w:t>
      </w:r>
      <w:r>
        <w:rPr>
          <w:rFonts w:ascii="Times New Roman" w:hAnsi="Times New Roman" w:cs="Times New Roman"/>
          <w:color w:val="000000"/>
          <w:sz w:val="24"/>
          <w:szCs w:val="24"/>
        </w:rPr>
        <w:t xml:space="preserve">Additionally, there is evidence suggesting certain foreign sources demand and receive influence or control over institutions’ programs and activities in exchange for gifts.  </w:t>
      </w:r>
      <w:r>
        <w:rPr>
          <w:rFonts w:ascii="Times New Roman" w:hAnsi="Times New Roman" w:cs="Times New Roman"/>
          <w:i/>
          <w:iCs/>
          <w:color w:val="000000"/>
          <w:sz w:val="24"/>
          <w:szCs w:val="24"/>
        </w:rPr>
        <w:t>See, e.g., id.</w:t>
      </w:r>
      <w:r>
        <w:rPr>
          <w:rFonts w:ascii="Times New Roman" w:hAnsi="Times New Roman" w:cs="Times New Roman"/>
          <w:color w:val="000000"/>
          <w:sz w:val="24"/>
          <w:szCs w:val="24"/>
        </w:rPr>
        <w:t xml:space="preserve"> at 6, 33-59</w:t>
      </w:r>
      <w:r w:rsidR="00F56926">
        <w:rPr>
          <w:rFonts w:ascii="Times New Roman" w:hAnsi="Times New Roman" w:cs="Times New Roman"/>
          <w:color w:val="000000"/>
          <w:sz w:val="24"/>
          <w:szCs w:val="24"/>
        </w:rPr>
        <w:t xml:space="preserve">.  </w:t>
      </w:r>
      <w:bookmarkEnd w:id="2"/>
      <w:r w:rsidR="00EE25EE">
        <w:rPr>
          <w:rFonts w:ascii="Times New Roman" w:hAnsi="Times New Roman" w:cs="Times New Roman"/>
          <w:color w:val="000000"/>
          <w:sz w:val="24"/>
          <w:szCs w:val="24"/>
        </w:rPr>
        <w:t xml:space="preserve">The Department has, for example, uncovered a confidential gift agreement promising millions of dollars </w:t>
      </w:r>
      <w:r w:rsidR="0070320A">
        <w:rPr>
          <w:rFonts w:ascii="Times New Roman" w:hAnsi="Times New Roman" w:cs="Times New Roman"/>
          <w:color w:val="000000"/>
          <w:sz w:val="24"/>
          <w:szCs w:val="24"/>
        </w:rPr>
        <w:t xml:space="preserve">from a foreign source </w:t>
      </w:r>
      <w:r w:rsidR="00EE25EE">
        <w:rPr>
          <w:rFonts w:ascii="Times New Roman" w:hAnsi="Times New Roman" w:cs="Times New Roman"/>
          <w:color w:val="000000"/>
          <w:sz w:val="24"/>
          <w:szCs w:val="24"/>
        </w:rPr>
        <w:t>in exchange for the institution’s commitment to establish a comprehensive program promoting a particular religion.</w:t>
      </w:r>
    </w:p>
    <w:p w14:paraId="00FF5281" w14:textId="01657B26" w:rsidR="00E2423E" w:rsidRDefault="0084377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Department’s information collection will support its enforcement activities and provide a basis for verifying institutions are disclosing </w:t>
      </w:r>
      <w:r w:rsidR="00E2423E">
        <w:rPr>
          <w:rFonts w:ascii="Times New Roman" w:eastAsia="Times New Roman" w:hAnsi="Times New Roman" w:cs="Times New Roman"/>
          <w:bCs/>
          <w:sz w:val="24"/>
          <w:szCs w:val="24"/>
        </w:rPr>
        <w:t>information</w:t>
      </w:r>
      <w:r>
        <w:rPr>
          <w:rFonts w:ascii="Times New Roman" w:eastAsia="Times New Roman" w:hAnsi="Times New Roman" w:cs="Times New Roman"/>
          <w:bCs/>
          <w:sz w:val="24"/>
          <w:szCs w:val="24"/>
        </w:rPr>
        <w:t xml:space="preserve"> to the </w:t>
      </w:r>
      <w:r w:rsidR="00D06F97">
        <w:rPr>
          <w:rFonts w:ascii="Times New Roman" w:eastAsia="Times New Roman" w:hAnsi="Times New Roman" w:cs="Times New Roman"/>
          <w:bCs/>
          <w:sz w:val="24"/>
          <w:szCs w:val="24"/>
        </w:rPr>
        <w:t xml:space="preserve">Department and </w:t>
      </w:r>
      <w:r>
        <w:rPr>
          <w:rFonts w:ascii="Times New Roman" w:eastAsia="Times New Roman" w:hAnsi="Times New Roman" w:cs="Times New Roman"/>
          <w:bCs/>
          <w:sz w:val="24"/>
          <w:szCs w:val="24"/>
        </w:rPr>
        <w:t>public</w:t>
      </w:r>
      <w:r w:rsidR="00E2423E">
        <w:rPr>
          <w:rFonts w:ascii="Times New Roman" w:eastAsia="Times New Roman" w:hAnsi="Times New Roman" w:cs="Times New Roman"/>
          <w:bCs/>
          <w:sz w:val="24"/>
          <w:szCs w:val="24"/>
        </w:rPr>
        <w:t xml:space="preserve"> as Congress directed</w:t>
      </w:r>
      <w:r>
        <w:rPr>
          <w:rFonts w:ascii="Times New Roman" w:eastAsia="Times New Roman" w:hAnsi="Times New Roman" w:cs="Times New Roman"/>
          <w:bCs/>
          <w:sz w:val="24"/>
          <w:szCs w:val="24"/>
        </w:rPr>
        <w:t>.</w:t>
      </w:r>
      <w:r w:rsidR="00E2423E">
        <w:rPr>
          <w:rFonts w:ascii="Times New Roman" w:eastAsia="Times New Roman" w:hAnsi="Times New Roman" w:cs="Times New Roman"/>
          <w:bCs/>
          <w:sz w:val="24"/>
          <w:szCs w:val="24"/>
        </w:rPr>
        <w:t xml:space="preserve">  Consequently, in this case the information needed by the Department to facilitate its review and </w:t>
      </w:r>
      <w:r w:rsidR="00C176F5">
        <w:rPr>
          <w:rFonts w:ascii="Times New Roman" w:eastAsia="Times New Roman" w:hAnsi="Times New Roman" w:cs="Times New Roman"/>
          <w:bCs/>
          <w:sz w:val="24"/>
          <w:szCs w:val="24"/>
        </w:rPr>
        <w:t>determination</w:t>
      </w:r>
      <w:r w:rsidR="00E2423E">
        <w:rPr>
          <w:rFonts w:ascii="Times New Roman" w:eastAsia="Times New Roman" w:hAnsi="Times New Roman" w:cs="Times New Roman"/>
          <w:bCs/>
          <w:sz w:val="24"/>
          <w:szCs w:val="24"/>
        </w:rPr>
        <w:t xml:space="preserve"> of institutions’ Section 117 compliance is appropriately obtained by way of an information collection pursuant to the Paperwork Reduction Act.  Especially against the documented backdrop of widespread noncompliance, this information properly includes all </w:t>
      </w:r>
      <w:r w:rsidR="006D6966">
        <w:rPr>
          <w:rFonts w:ascii="Times New Roman" w:eastAsia="Times New Roman" w:hAnsi="Times New Roman" w:cs="Times New Roman"/>
          <w:bCs/>
          <w:sz w:val="24"/>
          <w:szCs w:val="24"/>
        </w:rPr>
        <w:t>t</w:t>
      </w:r>
      <w:r w:rsidR="003B712C" w:rsidRPr="003B712C">
        <w:rPr>
          <w:rFonts w:ascii="Times New Roman" w:eastAsia="Times New Roman" w:hAnsi="Times New Roman" w:cs="Times New Roman"/>
          <w:bCs/>
          <w:sz w:val="24"/>
          <w:szCs w:val="24"/>
        </w:rPr>
        <w:t>rue cop</w:t>
      </w:r>
      <w:r w:rsidR="00C54892">
        <w:rPr>
          <w:rFonts w:ascii="Times New Roman" w:eastAsia="Times New Roman" w:hAnsi="Times New Roman" w:cs="Times New Roman"/>
          <w:bCs/>
          <w:sz w:val="24"/>
          <w:szCs w:val="24"/>
        </w:rPr>
        <w:t>ies</w:t>
      </w:r>
      <w:r w:rsidR="003B712C" w:rsidRPr="003B712C">
        <w:rPr>
          <w:rFonts w:ascii="Times New Roman" w:eastAsia="Times New Roman" w:hAnsi="Times New Roman" w:cs="Times New Roman"/>
          <w:bCs/>
          <w:sz w:val="24"/>
          <w:szCs w:val="24"/>
        </w:rPr>
        <w:t xml:space="preserve"> of gift</w:t>
      </w:r>
      <w:r w:rsidR="00DD3AD7">
        <w:rPr>
          <w:rFonts w:ascii="Times New Roman" w:eastAsia="Times New Roman" w:hAnsi="Times New Roman" w:cs="Times New Roman"/>
          <w:bCs/>
          <w:sz w:val="24"/>
          <w:szCs w:val="24"/>
        </w:rPr>
        <w:t>s</w:t>
      </w:r>
      <w:r w:rsidR="00831DFC">
        <w:rPr>
          <w:rFonts w:ascii="Times New Roman" w:eastAsia="Times New Roman" w:hAnsi="Times New Roman" w:cs="Times New Roman"/>
          <w:bCs/>
          <w:sz w:val="24"/>
          <w:szCs w:val="24"/>
        </w:rPr>
        <w:t xml:space="preserve"> and</w:t>
      </w:r>
      <w:r w:rsidR="003B712C" w:rsidRPr="003B712C">
        <w:rPr>
          <w:rFonts w:ascii="Times New Roman" w:eastAsia="Times New Roman" w:hAnsi="Times New Roman" w:cs="Times New Roman"/>
          <w:bCs/>
          <w:sz w:val="24"/>
          <w:szCs w:val="24"/>
        </w:rPr>
        <w:t xml:space="preserve"> donation agreement</w:t>
      </w:r>
      <w:r w:rsidR="00DD3AD7">
        <w:rPr>
          <w:rFonts w:ascii="Times New Roman" w:eastAsia="Times New Roman" w:hAnsi="Times New Roman" w:cs="Times New Roman"/>
          <w:bCs/>
          <w:sz w:val="24"/>
          <w:szCs w:val="24"/>
        </w:rPr>
        <w:t>s</w:t>
      </w:r>
      <w:r w:rsidR="00831DFC">
        <w:rPr>
          <w:rFonts w:ascii="Times New Roman" w:eastAsia="Times New Roman" w:hAnsi="Times New Roman" w:cs="Times New Roman"/>
          <w:bCs/>
          <w:sz w:val="24"/>
          <w:szCs w:val="24"/>
        </w:rPr>
        <w:t xml:space="preserve"> </w:t>
      </w:r>
      <w:r w:rsidR="004C4FB3">
        <w:rPr>
          <w:rFonts w:ascii="Times New Roman" w:eastAsia="Times New Roman" w:hAnsi="Times New Roman" w:cs="Times New Roman"/>
          <w:bCs/>
          <w:sz w:val="24"/>
          <w:szCs w:val="24"/>
        </w:rPr>
        <w:t xml:space="preserve">and </w:t>
      </w:r>
      <w:r w:rsidR="00E2423E">
        <w:rPr>
          <w:rFonts w:ascii="Times New Roman" w:eastAsia="Times New Roman" w:hAnsi="Times New Roman" w:cs="Times New Roman"/>
          <w:bCs/>
          <w:sz w:val="24"/>
          <w:szCs w:val="24"/>
        </w:rPr>
        <w:t>contact information for each foreign source.</w:t>
      </w:r>
      <w:r w:rsidR="00A45C45">
        <w:rPr>
          <w:rFonts w:ascii="Times New Roman" w:eastAsia="Times New Roman" w:hAnsi="Times New Roman" w:cs="Times New Roman"/>
          <w:bCs/>
          <w:sz w:val="24"/>
          <w:szCs w:val="24"/>
        </w:rPr>
        <w:t xml:space="preserve">  As discussed subsequently, th</w:t>
      </w:r>
      <w:r w:rsidR="00724BEB">
        <w:rPr>
          <w:rFonts w:ascii="Times New Roman" w:eastAsia="Times New Roman" w:hAnsi="Times New Roman" w:cs="Times New Roman"/>
          <w:bCs/>
          <w:sz w:val="24"/>
          <w:szCs w:val="24"/>
        </w:rPr>
        <w:t>is enforcement information</w:t>
      </w:r>
      <w:r w:rsidR="00753F48">
        <w:rPr>
          <w:rFonts w:ascii="Times New Roman" w:eastAsia="Times New Roman" w:hAnsi="Times New Roman" w:cs="Times New Roman"/>
          <w:bCs/>
          <w:sz w:val="24"/>
          <w:szCs w:val="24"/>
        </w:rPr>
        <w:t xml:space="preserve"> </w:t>
      </w:r>
      <w:r w:rsidR="00724BEB">
        <w:rPr>
          <w:rFonts w:ascii="Times New Roman" w:eastAsia="Times New Roman" w:hAnsi="Times New Roman" w:cs="Times New Roman"/>
          <w:bCs/>
          <w:sz w:val="24"/>
          <w:szCs w:val="24"/>
        </w:rPr>
        <w:t>will not be made public in the disclosure reports.</w:t>
      </w:r>
    </w:p>
    <w:p w14:paraId="26EDB906" w14:textId="11944B7D" w:rsidR="00F12683" w:rsidRPr="00773152" w:rsidRDefault="000E4D52">
      <w:pPr>
        <w:rPr>
          <w:rFonts w:ascii="Times New Roman" w:hAnsi="Times New Roman" w:cs="Times New Roman"/>
          <w:b/>
          <w:sz w:val="24"/>
          <w:szCs w:val="24"/>
        </w:rPr>
      </w:pPr>
      <w:r w:rsidRPr="00773152">
        <w:rPr>
          <w:rFonts w:ascii="Times New Roman" w:eastAsia="Times New Roman" w:hAnsi="Times New Roman" w:cs="Times New Roman"/>
          <w:b/>
          <w:sz w:val="24"/>
          <w:szCs w:val="24"/>
        </w:rPr>
        <w:t xml:space="preserve">Scope of </w:t>
      </w:r>
      <w:r w:rsidR="006C617B">
        <w:rPr>
          <w:rFonts w:ascii="Times New Roman" w:eastAsia="Times New Roman" w:hAnsi="Times New Roman" w:cs="Times New Roman"/>
          <w:b/>
          <w:sz w:val="24"/>
          <w:szCs w:val="24"/>
        </w:rPr>
        <w:t>Covered C</w:t>
      </w:r>
      <w:r w:rsidRPr="00773152">
        <w:rPr>
          <w:rFonts w:ascii="Times New Roman" w:eastAsia="Times New Roman" w:hAnsi="Times New Roman" w:cs="Times New Roman"/>
          <w:b/>
          <w:sz w:val="24"/>
          <w:szCs w:val="24"/>
        </w:rPr>
        <w:t xml:space="preserve">ontracts </w:t>
      </w:r>
    </w:p>
    <w:p w14:paraId="188E1FCC" w14:textId="2D321961" w:rsidR="00AC6205" w:rsidRPr="00773152" w:rsidRDefault="00FA3465" w:rsidP="00AC6205">
      <w:pPr>
        <w:rPr>
          <w:rFonts w:ascii="Times New Roman" w:hAnsi="Times New Roman" w:cs="Times New Roman"/>
          <w:sz w:val="24"/>
          <w:szCs w:val="24"/>
        </w:rPr>
      </w:pPr>
      <w:r w:rsidRPr="00773152">
        <w:rPr>
          <w:rFonts w:ascii="Times New Roman" w:hAnsi="Times New Roman" w:cs="Times New Roman"/>
          <w:b/>
          <w:sz w:val="24"/>
          <w:szCs w:val="24"/>
        </w:rPr>
        <w:t>Comment</w:t>
      </w:r>
      <w:r w:rsidR="00264BF3" w:rsidRPr="00773152">
        <w:rPr>
          <w:rFonts w:ascii="Times New Roman" w:hAnsi="Times New Roman" w:cs="Times New Roman"/>
          <w:b/>
          <w:sz w:val="24"/>
          <w:szCs w:val="24"/>
        </w:rPr>
        <w:t>s</w:t>
      </w:r>
      <w:r w:rsidRPr="00773152">
        <w:rPr>
          <w:rFonts w:ascii="Times New Roman" w:hAnsi="Times New Roman" w:cs="Times New Roman"/>
          <w:sz w:val="24"/>
          <w:szCs w:val="24"/>
        </w:rPr>
        <w:t xml:space="preserve">:  Some commenters asserted that </w:t>
      </w:r>
      <w:r w:rsidR="00D93D26">
        <w:rPr>
          <w:rFonts w:ascii="Times New Roman" w:hAnsi="Times New Roman" w:cs="Times New Roman"/>
          <w:sz w:val="24"/>
          <w:szCs w:val="24"/>
        </w:rPr>
        <w:t xml:space="preserve">20 U.S.C. § 1011f </w:t>
      </w:r>
      <w:r w:rsidR="007B408D">
        <w:rPr>
          <w:rFonts w:ascii="Times New Roman" w:hAnsi="Times New Roman" w:cs="Times New Roman"/>
          <w:sz w:val="24"/>
          <w:szCs w:val="24"/>
        </w:rPr>
        <w:t>(“</w:t>
      </w:r>
      <w:r w:rsidR="00D93D26">
        <w:rPr>
          <w:rFonts w:ascii="Times New Roman" w:hAnsi="Times New Roman" w:cs="Times New Roman"/>
          <w:sz w:val="24"/>
          <w:szCs w:val="24"/>
        </w:rPr>
        <w:t>S</w:t>
      </w:r>
      <w:r w:rsidRPr="00773152">
        <w:rPr>
          <w:rFonts w:ascii="Times New Roman" w:hAnsi="Times New Roman" w:cs="Times New Roman"/>
          <w:sz w:val="24"/>
          <w:szCs w:val="24"/>
        </w:rPr>
        <w:t>ection 117</w:t>
      </w:r>
      <w:r w:rsidR="007B408D">
        <w:rPr>
          <w:rFonts w:ascii="Times New Roman" w:hAnsi="Times New Roman" w:cs="Times New Roman"/>
          <w:sz w:val="24"/>
          <w:szCs w:val="24"/>
        </w:rPr>
        <w:t>”)</w:t>
      </w:r>
      <w:r w:rsidRPr="00773152">
        <w:rPr>
          <w:rFonts w:ascii="Times New Roman" w:hAnsi="Times New Roman" w:cs="Times New Roman"/>
          <w:sz w:val="24"/>
          <w:szCs w:val="24"/>
        </w:rPr>
        <w:t xml:space="preserve"> and its legislative history at </w:t>
      </w:r>
      <w:r w:rsidR="00366E3A" w:rsidRPr="00773152">
        <w:rPr>
          <w:rFonts w:ascii="Times New Roman" w:hAnsi="Times New Roman" w:cs="Times New Roman"/>
          <w:sz w:val="24"/>
          <w:szCs w:val="24"/>
        </w:rPr>
        <w:t xml:space="preserve">page 88 of </w:t>
      </w:r>
      <w:r w:rsidRPr="00773152">
        <w:rPr>
          <w:rFonts w:ascii="Times New Roman" w:hAnsi="Times New Roman" w:cs="Times New Roman"/>
          <w:sz w:val="24"/>
          <w:szCs w:val="24"/>
        </w:rPr>
        <w:t xml:space="preserve">H.R. REP. No. 99-383 limit the scope of the term “contracts” to only contracts involving funds or other support </w:t>
      </w:r>
      <w:r w:rsidRPr="00773152">
        <w:rPr>
          <w:rFonts w:ascii="Times New Roman" w:hAnsi="Times New Roman" w:cs="Times New Roman"/>
          <w:i/>
          <w:sz w:val="24"/>
          <w:szCs w:val="24"/>
        </w:rPr>
        <w:t xml:space="preserve">received </w:t>
      </w:r>
      <w:r w:rsidRPr="00773152">
        <w:rPr>
          <w:rFonts w:ascii="Times New Roman" w:hAnsi="Times New Roman" w:cs="Times New Roman"/>
          <w:sz w:val="24"/>
          <w:szCs w:val="24"/>
        </w:rPr>
        <w:t xml:space="preserve">by institutions.  According to these commenters, the term “contracts” does not include contracts involving purchases </w:t>
      </w:r>
      <w:r w:rsidRPr="00773152">
        <w:rPr>
          <w:rFonts w:ascii="Times New Roman" w:hAnsi="Times New Roman" w:cs="Times New Roman"/>
          <w:i/>
          <w:sz w:val="24"/>
          <w:szCs w:val="24"/>
        </w:rPr>
        <w:t xml:space="preserve">made </w:t>
      </w:r>
      <w:r w:rsidRPr="00773152">
        <w:rPr>
          <w:rFonts w:ascii="Times New Roman" w:hAnsi="Times New Roman" w:cs="Times New Roman"/>
          <w:sz w:val="24"/>
          <w:szCs w:val="24"/>
        </w:rPr>
        <w:t xml:space="preserve">by institutions from foreign sources. These commenters requested clarification on whether the Department intended to require </w:t>
      </w:r>
      <w:r w:rsidR="002B107B">
        <w:rPr>
          <w:rFonts w:ascii="Times New Roman" w:hAnsi="Times New Roman" w:cs="Times New Roman"/>
          <w:sz w:val="24"/>
          <w:szCs w:val="24"/>
        </w:rPr>
        <w:t>institution</w:t>
      </w:r>
      <w:r w:rsidRPr="00773152">
        <w:rPr>
          <w:rFonts w:ascii="Times New Roman" w:hAnsi="Times New Roman" w:cs="Times New Roman"/>
          <w:sz w:val="24"/>
          <w:szCs w:val="24"/>
        </w:rPr>
        <w:t xml:space="preserve">s to report all contracts, including, for example, equipment purchased by an institution from a foreign source.  </w:t>
      </w:r>
      <w:r w:rsidR="00AC6205" w:rsidRPr="00773152">
        <w:rPr>
          <w:rFonts w:ascii="Times New Roman" w:hAnsi="Times New Roman" w:cs="Times New Roman"/>
          <w:sz w:val="24"/>
          <w:szCs w:val="24"/>
        </w:rPr>
        <w:t>A separate commenter asked whether the types of contracts that must be reported would include an intellectual property license fee from a foreign licensee of a University patent or data or materials being transferred for use in research</w:t>
      </w:r>
      <w:r w:rsidR="0070320A">
        <w:rPr>
          <w:rFonts w:ascii="Times New Roman" w:hAnsi="Times New Roman" w:cs="Times New Roman"/>
          <w:sz w:val="24"/>
          <w:szCs w:val="24"/>
        </w:rPr>
        <w:t>.</w:t>
      </w:r>
      <w:r w:rsidR="00AC6205" w:rsidRPr="00773152">
        <w:rPr>
          <w:rFonts w:ascii="Times New Roman" w:hAnsi="Times New Roman" w:cs="Times New Roman"/>
          <w:sz w:val="24"/>
          <w:szCs w:val="24"/>
        </w:rPr>
        <w:t xml:space="preserve"> </w:t>
      </w:r>
      <w:r w:rsidR="00F231EB">
        <w:rPr>
          <w:rFonts w:ascii="Times New Roman" w:hAnsi="Times New Roman" w:cs="Times New Roman"/>
          <w:sz w:val="24"/>
          <w:szCs w:val="24"/>
        </w:rPr>
        <w:t xml:space="preserve"> Similarly, commenters asked whether in-kind contributions and/or services could qualify as a gift or contract.</w:t>
      </w:r>
    </w:p>
    <w:p w14:paraId="56F87923" w14:textId="53FAD5C2" w:rsidR="0070320A" w:rsidRDefault="00FA3465" w:rsidP="00FA3465">
      <w:pPr>
        <w:autoSpaceDE w:val="0"/>
        <w:autoSpaceDN w:val="0"/>
        <w:rPr>
          <w:rFonts w:ascii="Times New Roman" w:eastAsia="Times New Roman" w:hAnsi="Times New Roman" w:cs="Times New Roman"/>
          <w:sz w:val="24"/>
          <w:szCs w:val="24"/>
          <w:lang w:val="en"/>
        </w:rPr>
      </w:pPr>
      <w:r w:rsidRPr="00760725">
        <w:rPr>
          <w:rFonts w:ascii="Times New Roman" w:hAnsi="Times New Roman" w:cs="Times New Roman"/>
          <w:b/>
          <w:bCs/>
          <w:sz w:val="24"/>
          <w:szCs w:val="24"/>
        </w:rPr>
        <w:t>Response</w:t>
      </w:r>
      <w:r w:rsidRPr="00760725">
        <w:rPr>
          <w:rFonts w:ascii="Times New Roman" w:hAnsi="Times New Roman" w:cs="Times New Roman"/>
          <w:sz w:val="24"/>
          <w:szCs w:val="24"/>
        </w:rPr>
        <w:t xml:space="preserve">:  Section 20 U.S.C. 1011f(h)(1) defines “contract” as </w:t>
      </w:r>
      <w:r w:rsidRPr="00760725">
        <w:rPr>
          <w:rFonts w:ascii="Times New Roman" w:eastAsia="Times New Roman" w:hAnsi="Times New Roman" w:cs="Times New Roman"/>
          <w:sz w:val="24"/>
          <w:szCs w:val="24"/>
          <w:lang w:val="en"/>
        </w:rPr>
        <w:t>“any agreement for the acquisition by purchase, lease, or barter of property or services by the</w:t>
      </w:r>
      <w:hyperlink w:history="1">
        <w:r w:rsidRPr="00760725">
          <w:rPr>
            <w:rFonts w:ascii="Times New Roman" w:eastAsia="Times New Roman" w:hAnsi="Times New Roman" w:cs="Times New Roman"/>
            <w:sz w:val="24"/>
            <w:szCs w:val="24"/>
            <w:lang w:val="en"/>
          </w:rPr>
          <w:t xml:space="preserve"> foreign source,</w:t>
        </w:r>
      </w:hyperlink>
      <w:r w:rsidRPr="00760725">
        <w:rPr>
          <w:rFonts w:ascii="Times New Roman" w:eastAsia="Times New Roman" w:hAnsi="Times New Roman" w:cs="Times New Roman"/>
          <w:sz w:val="24"/>
          <w:szCs w:val="24"/>
          <w:lang w:val="en"/>
        </w:rPr>
        <w:t xml:space="preserve"> for the direct benefit or use of either of the parties.”  </w:t>
      </w:r>
      <w:r w:rsidR="00CB2A03">
        <w:rPr>
          <w:rFonts w:ascii="Times New Roman" w:eastAsia="Times New Roman" w:hAnsi="Times New Roman" w:cs="Times New Roman"/>
          <w:sz w:val="24"/>
          <w:szCs w:val="24"/>
          <w:lang w:val="en"/>
        </w:rPr>
        <w:t>The Department is bound by s</w:t>
      </w:r>
      <w:r w:rsidR="0070320A">
        <w:rPr>
          <w:rFonts w:ascii="Times New Roman" w:eastAsia="Times New Roman" w:hAnsi="Times New Roman" w:cs="Times New Roman"/>
          <w:sz w:val="24"/>
          <w:szCs w:val="24"/>
          <w:lang w:val="en"/>
        </w:rPr>
        <w:t xml:space="preserve">tatutory </w:t>
      </w:r>
      <w:r w:rsidR="00480B12">
        <w:rPr>
          <w:rFonts w:ascii="Times New Roman" w:eastAsia="Times New Roman" w:hAnsi="Times New Roman" w:cs="Times New Roman"/>
          <w:sz w:val="24"/>
          <w:szCs w:val="24"/>
          <w:lang w:val="en"/>
        </w:rPr>
        <w:t>text</w:t>
      </w:r>
      <w:r w:rsidR="00CB2A03">
        <w:rPr>
          <w:rFonts w:ascii="Times New Roman" w:eastAsia="Times New Roman" w:hAnsi="Times New Roman" w:cs="Times New Roman"/>
          <w:sz w:val="24"/>
          <w:szCs w:val="24"/>
          <w:lang w:val="en"/>
        </w:rPr>
        <w:t>, construed in context and with a view to the words’ place in the statutory scheme.</w:t>
      </w:r>
      <w:r w:rsidR="00CB2A03">
        <w:rPr>
          <w:rStyle w:val="FootnoteReference"/>
          <w:rFonts w:ascii="Times New Roman" w:eastAsia="Times New Roman" w:hAnsi="Times New Roman" w:cs="Times New Roman"/>
          <w:sz w:val="24"/>
          <w:szCs w:val="24"/>
          <w:lang w:val="en"/>
        </w:rPr>
        <w:footnoteReference w:id="2"/>
      </w:r>
      <w:r w:rsidR="00CB2A03">
        <w:rPr>
          <w:rFonts w:ascii="Times New Roman" w:eastAsia="Times New Roman" w:hAnsi="Times New Roman" w:cs="Times New Roman"/>
          <w:sz w:val="24"/>
          <w:szCs w:val="24"/>
          <w:lang w:val="en"/>
        </w:rPr>
        <w:t xml:space="preserve">  A</w:t>
      </w:r>
      <w:r w:rsidR="0070320A">
        <w:rPr>
          <w:rFonts w:ascii="Times New Roman" w:eastAsia="Times New Roman" w:hAnsi="Times New Roman" w:cs="Times New Roman"/>
          <w:sz w:val="24"/>
          <w:szCs w:val="24"/>
          <w:lang w:val="en"/>
        </w:rPr>
        <w:t xml:space="preserve">lthough the </w:t>
      </w:r>
      <w:r w:rsidR="0070320A">
        <w:rPr>
          <w:rFonts w:ascii="Times New Roman" w:eastAsia="Times New Roman" w:hAnsi="Times New Roman" w:cs="Times New Roman"/>
          <w:sz w:val="24"/>
          <w:szCs w:val="24"/>
          <w:lang w:val="en"/>
        </w:rPr>
        <w:lastRenderedPageBreak/>
        <w:t>Department must follow statutory text and not legislative history, we note t</w:t>
      </w:r>
      <w:r w:rsidRPr="00760725">
        <w:rPr>
          <w:rFonts w:ascii="Times New Roman" w:eastAsia="Times New Roman" w:hAnsi="Times New Roman" w:cs="Times New Roman"/>
          <w:sz w:val="24"/>
          <w:szCs w:val="24"/>
          <w:lang w:val="en"/>
        </w:rPr>
        <w:t xml:space="preserve">he legislative history </w:t>
      </w:r>
      <w:r w:rsidR="0070320A">
        <w:rPr>
          <w:rFonts w:ascii="Times New Roman" w:eastAsia="Times New Roman" w:hAnsi="Times New Roman" w:cs="Times New Roman"/>
          <w:sz w:val="24"/>
          <w:szCs w:val="24"/>
          <w:lang w:val="en"/>
        </w:rPr>
        <w:t>provides</w:t>
      </w:r>
      <w:r w:rsidRPr="00760725">
        <w:rPr>
          <w:rFonts w:ascii="Times New Roman" w:eastAsia="Times New Roman" w:hAnsi="Times New Roman" w:cs="Times New Roman"/>
          <w:sz w:val="24"/>
          <w:szCs w:val="24"/>
          <w:lang w:val="en"/>
        </w:rPr>
        <w:t xml:space="preserve"> an example of a type of contract that would not have to be reported: a transaction in which an </w:t>
      </w:r>
      <w:r w:rsidR="002B107B">
        <w:rPr>
          <w:rFonts w:ascii="Times New Roman" w:hAnsi="Times New Roman" w:cs="Times New Roman"/>
          <w:sz w:val="24"/>
          <w:szCs w:val="24"/>
        </w:rPr>
        <w:t>institution</w:t>
      </w:r>
      <w:r w:rsidRPr="00760725">
        <w:rPr>
          <w:rFonts w:ascii="Times New Roman" w:eastAsia="Times New Roman" w:hAnsi="Times New Roman" w:cs="Times New Roman"/>
          <w:sz w:val="24"/>
          <w:szCs w:val="24"/>
          <w:lang w:val="en"/>
        </w:rPr>
        <w:t xml:space="preserve"> purchased equipment from a foreign source or leased property from a foreign source.  </w:t>
      </w:r>
    </w:p>
    <w:p w14:paraId="12666C07" w14:textId="58E760DF" w:rsidR="00FA3465" w:rsidRPr="00773152" w:rsidRDefault="0070320A" w:rsidP="00FA3465">
      <w:pPr>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 xml:space="preserve">Based on the language </w:t>
      </w:r>
      <w:r w:rsidR="00CB2A03">
        <w:rPr>
          <w:rFonts w:ascii="Times New Roman" w:eastAsia="Times New Roman" w:hAnsi="Times New Roman" w:cs="Times New Roman"/>
          <w:sz w:val="24"/>
          <w:szCs w:val="24"/>
          <w:lang w:val="en"/>
        </w:rPr>
        <w:t>“any agreement for the acquisition…by the foreign source….”, t</w:t>
      </w:r>
      <w:r w:rsidR="00FA3465" w:rsidRPr="00760725">
        <w:rPr>
          <w:rFonts w:ascii="Times New Roman" w:eastAsia="Times New Roman" w:hAnsi="Times New Roman" w:cs="Times New Roman"/>
          <w:sz w:val="24"/>
          <w:szCs w:val="24"/>
          <w:lang w:val="en"/>
        </w:rPr>
        <w:t xml:space="preserve">he Department interprets the definition as excluding a contract involving the transfer of funds from an </w:t>
      </w:r>
      <w:r w:rsidR="002B107B">
        <w:rPr>
          <w:rFonts w:ascii="Times New Roman" w:hAnsi="Times New Roman" w:cs="Times New Roman"/>
          <w:sz w:val="24"/>
          <w:szCs w:val="24"/>
        </w:rPr>
        <w:t>institution</w:t>
      </w:r>
      <w:r w:rsidR="00FA3465" w:rsidRPr="00760725">
        <w:rPr>
          <w:rFonts w:ascii="Times New Roman" w:eastAsia="Times New Roman" w:hAnsi="Times New Roman" w:cs="Times New Roman"/>
          <w:sz w:val="24"/>
          <w:szCs w:val="24"/>
          <w:lang w:val="en"/>
        </w:rPr>
        <w:t xml:space="preserve"> to a foreign source</w:t>
      </w:r>
      <w:r w:rsidR="00F071A8">
        <w:rPr>
          <w:rFonts w:ascii="Times New Roman" w:eastAsia="Times New Roman" w:hAnsi="Times New Roman" w:cs="Times New Roman"/>
          <w:sz w:val="24"/>
          <w:szCs w:val="24"/>
          <w:lang w:val="en"/>
        </w:rPr>
        <w:t xml:space="preserve">. </w:t>
      </w:r>
      <w:r w:rsidR="00FA3465" w:rsidRPr="00760725">
        <w:rPr>
          <w:rFonts w:ascii="Times New Roman" w:eastAsia="Times New Roman" w:hAnsi="Times New Roman" w:cs="Times New Roman"/>
          <w:sz w:val="24"/>
          <w:szCs w:val="24"/>
          <w:lang w:val="en"/>
        </w:rPr>
        <w:t xml:space="preserve"> </w:t>
      </w:r>
      <w:r w:rsidR="00EC394C">
        <w:rPr>
          <w:rFonts w:ascii="Times New Roman" w:eastAsia="Times New Roman" w:hAnsi="Times New Roman" w:cs="Times New Roman"/>
          <w:sz w:val="24"/>
          <w:szCs w:val="24"/>
          <w:lang w:val="en"/>
        </w:rPr>
        <w:t>While each transaction should be evaluated</w:t>
      </w:r>
      <w:r w:rsidR="00B47978">
        <w:rPr>
          <w:rFonts w:ascii="Times New Roman" w:eastAsia="Times New Roman" w:hAnsi="Times New Roman" w:cs="Times New Roman"/>
          <w:sz w:val="24"/>
          <w:szCs w:val="24"/>
          <w:lang w:val="en"/>
        </w:rPr>
        <w:t xml:space="preserve"> independently</w:t>
      </w:r>
      <w:r w:rsidR="00EC394C">
        <w:rPr>
          <w:rFonts w:ascii="Times New Roman" w:eastAsia="Times New Roman" w:hAnsi="Times New Roman" w:cs="Times New Roman"/>
          <w:sz w:val="24"/>
          <w:szCs w:val="24"/>
          <w:lang w:val="en"/>
        </w:rPr>
        <w:t xml:space="preserve">, </w:t>
      </w:r>
      <w:r w:rsidR="00480B12">
        <w:rPr>
          <w:rFonts w:ascii="Times New Roman" w:eastAsia="Times New Roman" w:hAnsi="Times New Roman" w:cs="Times New Roman"/>
          <w:sz w:val="24"/>
          <w:szCs w:val="24"/>
          <w:lang w:val="en"/>
        </w:rPr>
        <w:t xml:space="preserve">for example, </w:t>
      </w:r>
      <w:r w:rsidR="00EC394C">
        <w:rPr>
          <w:rFonts w:ascii="Times New Roman" w:eastAsia="Times New Roman" w:hAnsi="Times New Roman" w:cs="Times New Roman"/>
          <w:sz w:val="24"/>
          <w:szCs w:val="24"/>
          <w:lang w:val="en"/>
        </w:rPr>
        <w:t>we believe that intellectual property license fees from a foreign licensee of a Un</w:t>
      </w:r>
      <w:r w:rsidR="00B47978">
        <w:rPr>
          <w:rFonts w:ascii="Times New Roman" w:eastAsia="Times New Roman" w:hAnsi="Times New Roman" w:cs="Times New Roman"/>
          <w:sz w:val="24"/>
          <w:szCs w:val="24"/>
          <w:lang w:val="en"/>
        </w:rPr>
        <w:t>i</w:t>
      </w:r>
      <w:r w:rsidR="00EC394C">
        <w:rPr>
          <w:rFonts w:ascii="Times New Roman" w:eastAsia="Times New Roman" w:hAnsi="Times New Roman" w:cs="Times New Roman"/>
          <w:sz w:val="24"/>
          <w:szCs w:val="24"/>
          <w:lang w:val="en"/>
        </w:rPr>
        <w:t>versity patent</w:t>
      </w:r>
      <w:r w:rsidR="00B47978">
        <w:rPr>
          <w:rFonts w:ascii="Times New Roman" w:eastAsia="Times New Roman" w:hAnsi="Times New Roman" w:cs="Times New Roman"/>
          <w:sz w:val="24"/>
          <w:szCs w:val="24"/>
          <w:lang w:val="en"/>
        </w:rPr>
        <w:t xml:space="preserve"> and</w:t>
      </w:r>
      <w:r w:rsidR="00EC394C">
        <w:rPr>
          <w:rFonts w:ascii="Times New Roman" w:eastAsia="Times New Roman" w:hAnsi="Times New Roman" w:cs="Times New Roman"/>
          <w:sz w:val="24"/>
          <w:szCs w:val="24"/>
          <w:lang w:val="en"/>
        </w:rPr>
        <w:t xml:space="preserve"> data or materials </w:t>
      </w:r>
      <w:r w:rsidR="00EC394C" w:rsidRPr="00917830">
        <w:rPr>
          <w:rFonts w:ascii="Times New Roman" w:eastAsia="Times New Roman" w:hAnsi="Times New Roman" w:cs="Times New Roman"/>
          <w:sz w:val="24"/>
          <w:szCs w:val="24"/>
          <w:lang w:val="en"/>
        </w:rPr>
        <w:t xml:space="preserve">being transferred </w:t>
      </w:r>
      <w:r w:rsidR="00221E64" w:rsidRPr="00381A3A">
        <w:rPr>
          <w:rFonts w:ascii="Times New Roman" w:eastAsia="Times New Roman" w:hAnsi="Times New Roman" w:cs="Times New Roman"/>
          <w:sz w:val="24"/>
          <w:szCs w:val="24"/>
          <w:lang w:val="en"/>
        </w:rPr>
        <w:t>via</w:t>
      </w:r>
      <w:r w:rsidR="007B636C" w:rsidRPr="00381A3A">
        <w:rPr>
          <w:rFonts w:ascii="Times New Roman" w:eastAsia="Times New Roman" w:hAnsi="Times New Roman" w:cs="Times New Roman"/>
          <w:sz w:val="24"/>
          <w:szCs w:val="24"/>
          <w:lang w:val="en"/>
        </w:rPr>
        <w:t xml:space="preserve"> purchase, lease, </w:t>
      </w:r>
      <w:r w:rsidR="00AA1A55" w:rsidRPr="00381A3A">
        <w:rPr>
          <w:rFonts w:ascii="Times New Roman" w:eastAsia="Times New Roman" w:hAnsi="Times New Roman" w:cs="Times New Roman"/>
          <w:sz w:val="24"/>
          <w:szCs w:val="24"/>
          <w:lang w:val="en"/>
        </w:rPr>
        <w:t xml:space="preserve">or barter </w:t>
      </w:r>
      <w:r w:rsidR="00EC394C" w:rsidRPr="00381A3A">
        <w:rPr>
          <w:rFonts w:ascii="Times New Roman" w:eastAsia="Times New Roman" w:hAnsi="Times New Roman" w:cs="Times New Roman"/>
          <w:sz w:val="24"/>
          <w:szCs w:val="24"/>
          <w:lang w:val="en"/>
        </w:rPr>
        <w:t>for</w:t>
      </w:r>
      <w:r w:rsidR="00EC394C">
        <w:rPr>
          <w:rFonts w:ascii="Times New Roman" w:eastAsia="Times New Roman" w:hAnsi="Times New Roman" w:cs="Times New Roman"/>
          <w:sz w:val="24"/>
          <w:szCs w:val="24"/>
          <w:lang w:val="en"/>
        </w:rPr>
        <w:t xml:space="preserve"> use in research</w:t>
      </w:r>
      <w:r w:rsidR="00B47978">
        <w:rPr>
          <w:rFonts w:ascii="Times New Roman" w:eastAsia="Times New Roman" w:hAnsi="Times New Roman" w:cs="Times New Roman"/>
          <w:sz w:val="24"/>
          <w:szCs w:val="24"/>
          <w:lang w:val="en"/>
        </w:rPr>
        <w:t xml:space="preserve"> would </w:t>
      </w:r>
      <w:r w:rsidR="002A7AC7">
        <w:rPr>
          <w:rFonts w:ascii="Times New Roman" w:eastAsia="Times New Roman" w:hAnsi="Times New Roman" w:cs="Times New Roman"/>
          <w:sz w:val="24"/>
          <w:szCs w:val="24"/>
          <w:lang w:val="en"/>
        </w:rPr>
        <w:t xml:space="preserve">generally </w:t>
      </w:r>
      <w:r w:rsidR="00B47978">
        <w:rPr>
          <w:rFonts w:ascii="Times New Roman" w:eastAsia="Times New Roman" w:hAnsi="Times New Roman" w:cs="Times New Roman"/>
          <w:sz w:val="24"/>
          <w:szCs w:val="24"/>
          <w:lang w:val="en"/>
        </w:rPr>
        <w:t>be included in the statutory definition of contract.</w:t>
      </w:r>
      <w:r w:rsidR="00F231EB">
        <w:rPr>
          <w:rFonts w:ascii="Times New Roman" w:eastAsia="Times New Roman" w:hAnsi="Times New Roman" w:cs="Times New Roman"/>
          <w:sz w:val="24"/>
          <w:szCs w:val="24"/>
          <w:lang w:val="en"/>
        </w:rPr>
        <w:t xml:space="preserve">  Under 20 U.S.C. 1011f(h), i</w:t>
      </w:r>
      <w:r w:rsidR="00F231EB">
        <w:rPr>
          <w:rFonts w:ascii="Times New Roman" w:hAnsi="Times New Roman" w:cs="Times New Roman"/>
          <w:sz w:val="24"/>
          <w:szCs w:val="24"/>
        </w:rPr>
        <w:t xml:space="preserve">n-kind contributions that consist of property or services would be a contract and in-kind contributions that consist of money or property would be a gift.  </w:t>
      </w:r>
      <w:r w:rsidR="005040EC">
        <w:rPr>
          <w:rFonts w:ascii="Times New Roman" w:hAnsi="Times New Roman" w:cs="Times New Roman"/>
          <w:sz w:val="24"/>
          <w:szCs w:val="24"/>
        </w:rPr>
        <w:t>S</w:t>
      </w:r>
      <w:r w:rsidR="00F231EB">
        <w:rPr>
          <w:rFonts w:ascii="Times New Roman" w:hAnsi="Times New Roman" w:cs="Times New Roman"/>
          <w:sz w:val="24"/>
          <w:szCs w:val="24"/>
        </w:rPr>
        <w:t xml:space="preserve">ervices are included within the definition of “contract” but are not included in the definition of a “gift.”  </w:t>
      </w:r>
    </w:p>
    <w:p w14:paraId="7E4B05C2" w14:textId="65398B87" w:rsidR="00FA3465" w:rsidRDefault="00FA3465" w:rsidP="00FA3465">
      <w:pPr>
        <w:pStyle w:val="NoSpacing"/>
        <w:spacing w:line="276" w:lineRule="auto"/>
        <w:rPr>
          <w:rFonts w:ascii="Times New Roman" w:hAnsi="Times New Roman" w:cs="Times New Roman"/>
          <w:sz w:val="24"/>
          <w:szCs w:val="24"/>
        </w:rPr>
      </w:pPr>
      <w:r w:rsidRPr="00760725">
        <w:rPr>
          <w:rFonts w:ascii="Times New Roman" w:hAnsi="Times New Roman" w:cs="Times New Roman"/>
          <w:b/>
          <w:bCs/>
          <w:sz w:val="24"/>
          <w:szCs w:val="24"/>
        </w:rPr>
        <w:t>Changes</w:t>
      </w:r>
      <w:r w:rsidRPr="00760725">
        <w:rPr>
          <w:rFonts w:ascii="Times New Roman" w:hAnsi="Times New Roman" w:cs="Times New Roman"/>
          <w:sz w:val="24"/>
          <w:szCs w:val="24"/>
        </w:rPr>
        <w:t xml:space="preserve">:  None.  </w:t>
      </w:r>
    </w:p>
    <w:p w14:paraId="6BAA9E85" w14:textId="77777777" w:rsidR="00DD256D" w:rsidRPr="00C0616B" w:rsidRDefault="00DD256D" w:rsidP="00FA3465">
      <w:pPr>
        <w:pStyle w:val="NoSpacing"/>
        <w:spacing w:line="276" w:lineRule="auto"/>
        <w:rPr>
          <w:rFonts w:ascii="Times New Roman" w:hAnsi="Times New Roman" w:cs="Times New Roman"/>
          <w:sz w:val="24"/>
          <w:szCs w:val="24"/>
        </w:rPr>
      </w:pPr>
    </w:p>
    <w:p w14:paraId="4A3D6133" w14:textId="44FCBEBA" w:rsidR="006E4D68" w:rsidRPr="00773152" w:rsidRDefault="006C617B" w:rsidP="006E4D68">
      <w:pPr>
        <w:rPr>
          <w:rFonts w:ascii="Times New Roman" w:eastAsia="Times New Roman" w:hAnsi="Times New Roman" w:cs="Times New Roman"/>
          <w:b/>
          <w:sz w:val="24"/>
          <w:szCs w:val="24"/>
        </w:rPr>
      </w:pPr>
      <w:bookmarkStart w:id="4" w:name="_Hlk26800007"/>
      <w:r>
        <w:rPr>
          <w:rFonts w:ascii="Times New Roman" w:eastAsia="Times New Roman" w:hAnsi="Times New Roman" w:cs="Times New Roman"/>
          <w:b/>
          <w:sz w:val="24"/>
          <w:szCs w:val="24"/>
        </w:rPr>
        <w:t>All Legal Entities</w:t>
      </w:r>
    </w:p>
    <w:p w14:paraId="4A72C2F6" w14:textId="3F7C2C58" w:rsidR="009202D4" w:rsidRPr="00AD07E7" w:rsidRDefault="00F96041" w:rsidP="00EF469F">
      <w:pPr>
        <w:pStyle w:val="Default"/>
      </w:pPr>
      <w:r>
        <w:rPr>
          <w:rFonts w:eastAsia="Times New Roman"/>
          <w:b/>
          <w:bCs/>
        </w:rPr>
        <w:t>Comments</w:t>
      </w:r>
      <w:r>
        <w:rPr>
          <w:rFonts w:eastAsia="Times New Roman"/>
        </w:rPr>
        <w:t xml:space="preserve">:  </w:t>
      </w:r>
      <w:r w:rsidR="00107D62">
        <w:rPr>
          <w:rFonts w:eastAsia="Times New Roman"/>
        </w:rPr>
        <w:t xml:space="preserve">Some commenters were </w:t>
      </w:r>
      <w:r w:rsidR="00107D62" w:rsidRPr="00773152">
        <w:t xml:space="preserve">concerned that the scope of the term “institutions” could include organizations outside </w:t>
      </w:r>
      <w:r w:rsidR="00B13E7A" w:rsidRPr="00773152">
        <w:t xml:space="preserve">of </w:t>
      </w:r>
      <w:r w:rsidR="00107D62" w:rsidRPr="00773152">
        <w:t>the direct control of</w:t>
      </w:r>
      <w:r w:rsidR="00B13E7A" w:rsidRPr="00773152">
        <w:t xml:space="preserve"> an </w:t>
      </w:r>
      <w:r w:rsidR="002B107B">
        <w:t>institution</w:t>
      </w:r>
      <w:r w:rsidR="00107D62" w:rsidRPr="00773152">
        <w:t xml:space="preserve"> such as alumni associations, athletic booster clubs, and student clubs and affiliated groups</w:t>
      </w:r>
      <w:r w:rsidR="00AC31B2" w:rsidRPr="00773152">
        <w:t xml:space="preserve">.  These commenters noted that while these </w:t>
      </w:r>
      <w:r w:rsidR="00C6011F" w:rsidRPr="00773152">
        <w:t>other organizations</w:t>
      </w:r>
      <w:r w:rsidR="0036538B" w:rsidRPr="00773152">
        <w:t xml:space="preserve"> </w:t>
      </w:r>
      <w:r w:rsidR="00107D62" w:rsidRPr="00773152">
        <w:t xml:space="preserve">may be permitted to represent an official relationship with </w:t>
      </w:r>
      <w:r w:rsidR="00C6011F" w:rsidRPr="00773152">
        <w:t xml:space="preserve">an </w:t>
      </w:r>
      <w:r w:rsidR="002B107B">
        <w:t>institution</w:t>
      </w:r>
      <w:r w:rsidR="00107D62" w:rsidRPr="00773152">
        <w:t xml:space="preserve">, the </w:t>
      </w:r>
      <w:r w:rsidR="002B107B">
        <w:t>institution</w:t>
      </w:r>
      <w:r w:rsidR="00C6011F" w:rsidRPr="00773152">
        <w:t xml:space="preserve"> </w:t>
      </w:r>
      <w:r w:rsidR="00107D62" w:rsidRPr="00773152">
        <w:t>does not exercise direct control over the governance of the</w:t>
      </w:r>
      <w:r w:rsidR="00C6011F" w:rsidRPr="00773152">
        <w:t>se</w:t>
      </w:r>
      <w:r w:rsidR="00107D62" w:rsidRPr="00773152">
        <w:t xml:space="preserve"> organizations.  </w:t>
      </w:r>
      <w:r w:rsidR="00EB3098" w:rsidRPr="00773152">
        <w:t>These</w:t>
      </w:r>
      <w:r w:rsidR="00E27A6C" w:rsidRPr="00773152">
        <w:t xml:space="preserve"> commenters asserted that 20 U.S.C. 1011f </w:t>
      </w:r>
      <w:r w:rsidR="00E27A6C">
        <w:rPr>
          <w:rFonts w:cstheme="minorHAnsi"/>
        </w:rPr>
        <w:t xml:space="preserve">applies to </w:t>
      </w:r>
      <w:r w:rsidR="002B107B">
        <w:t>institution</w:t>
      </w:r>
      <w:r w:rsidR="00E27A6C">
        <w:rPr>
          <w:rFonts w:cstheme="minorHAnsi"/>
        </w:rPr>
        <w:t xml:space="preserve">s only and does not authorize </w:t>
      </w:r>
      <w:r w:rsidR="00480B12">
        <w:rPr>
          <w:rFonts w:cstheme="minorHAnsi"/>
        </w:rPr>
        <w:t xml:space="preserve">the Department </w:t>
      </w:r>
      <w:r w:rsidR="00E27A6C">
        <w:rPr>
          <w:rFonts w:cstheme="minorHAnsi"/>
        </w:rPr>
        <w:t>to ask for a l</w:t>
      </w:r>
      <w:r w:rsidR="00E27A6C" w:rsidRPr="00773152">
        <w:t xml:space="preserve">ist of all legal entities, including </w:t>
      </w:r>
      <w:r w:rsidR="00EB3098" w:rsidRPr="00773152">
        <w:t xml:space="preserve">outside </w:t>
      </w:r>
      <w:r w:rsidR="00E27A6C" w:rsidRPr="00773152">
        <w:t xml:space="preserve">foundations or other organizations, that operate substantially for the benefit for or under the auspices of </w:t>
      </w:r>
      <w:r w:rsidR="00AF0AF4" w:rsidRPr="00773152">
        <w:t xml:space="preserve">an </w:t>
      </w:r>
      <w:r w:rsidR="002B107B">
        <w:t>institution</w:t>
      </w:r>
      <w:r w:rsidR="00E27A6C" w:rsidRPr="00773152">
        <w:t xml:space="preserve">.  </w:t>
      </w:r>
    </w:p>
    <w:p w14:paraId="5901E8F3" w14:textId="7551E22B" w:rsidR="00F96041" w:rsidRPr="00773152" w:rsidRDefault="00F679B5" w:rsidP="00EF469F">
      <w:pPr>
        <w:autoSpaceDE w:val="0"/>
        <w:autoSpaceDN w:val="0"/>
        <w:adjustRightInd w:val="0"/>
        <w:spacing w:after="0" w:line="240" w:lineRule="auto"/>
        <w:rPr>
          <w:rFonts w:ascii="Times New Roman" w:eastAsia="Times New Roman" w:hAnsi="Times New Roman" w:cs="Times New Roman"/>
          <w:sz w:val="24"/>
          <w:szCs w:val="24"/>
        </w:rPr>
      </w:pPr>
      <w:r w:rsidRPr="00773152">
        <w:rPr>
          <w:rFonts w:ascii="Times New Roman" w:hAnsi="Times New Roman" w:cs="Times New Roman"/>
          <w:sz w:val="24"/>
          <w:szCs w:val="24"/>
        </w:rPr>
        <w:t xml:space="preserve"> </w:t>
      </w:r>
    </w:p>
    <w:p w14:paraId="6EF6E6E6" w14:textId="33D51C11" w:rsidR="00984A03" w:rsidRDefault="000E3149" w:rsidP="006E4D68">
      <w:pPr>
        <w:rPr>
          <w:rFonts w:ascii="Times New Roman" w:eastAsia="Times New Roman" w:hAnsi="Times New Roman" w:cs="Times New Roman"/>
          <w:sz w:val="24"/>
          <w:szCs w:val="24"/>
        </w:rPr>
      </w:pPr>
      <w:r w:rsidRPr="00773152">
        <w:rPr>
          <w:rFonts w:ascii="Times New Roman" w:eastAsia="Times New Roman" w:hAnsi="Times New Roman" w:cs="Times New Roman"/>
          <w:b/>
          <w:sz w:val="24"/>
          <w:szCs w:val="24"/>
        </w:rPr>
        <w:t>Response</w:t>
      </w:r>
      <w:r w:rsidRPr="00773152">
        <w:rPr>
          <w:rFonts w:ascii="Times New Roman" w:eastAsia="Times New Roman" w:hAnsi="Times New Roman" w:cs="Times New Roman"/>
          <w:sz w:val="24"/>
          <w:szCs w:val="24"/>
        </w:rPr>
        <w:t>:</w:t>
      </w:r>
      <w:r w:rsidR="007C5955" w:rsidRPr="00773152">
        <w:rPr>
          <w:rFonts w:ascii="Times New Roman" w:eastAsia="Times New Roman" w:hAnsi="Times New Roman" w:cs="Times New Roman"/>
          <w:sz w:val="24"/>
          <w:szCs w:val="24"/>
        </w:rPr>
        <w:t xml:space="preserve">  </w:t>
      </w:r>
      <w:r w:rsidR="00CA6DF8" w:rsidRPr="00773152">
        <w:rPr>
          <w:rFonts w:ascii="Times New Roman" w:eastAsia="Times New Roman" w:hAnsi="Times New Roman" w:cs="Times New Roman"/>
          <w:sz w:val="24"/>
          <w:szCs w:val="24"/>
        </w:rPr>
        <w:t xml:space="preserve">In the revised disclosure form, </w:t>
      </w:r>
      <w:r w:rsidR="002B107B">
        <w:rPr>
          <w:rFonts w:ascii="Times New Roman" w:hAnsi="Times New Roman" w:cs="Times New Roman"/>
          <w:sz w:val="24"/>
          <w:szCs w:val="24"/>
        </w:rPr>
        <w:t>institution</w:t>
      </w:r>
      <w:r w:rsidR="00CA6DF8" w:rsidRPr="00773152">
        <w:rPr>
          <w:rFonts w:ascii="Times New Roman" w:eastAsia="Times New Roman" w:hAnsi="Times New Roman" w:cs="Times New Roman"/>
          <w:sz w:val="24"/>
          <w:szCs w:val="24"/>
        </w:rPr>
        <w:t xml:space="preserve">s are no longer required to list all legal entities (including foundations or other organizations) that operate substantially for the benefit for or under the auspices of your institution.  Similarly, </w:t>
      </w:r>
      <w:r w:rsidR="002B107B">
        <w:rPr>
          <w:rFonts w:ascii="Times New Roman" w:hAnsi="Times New Roman" w:cs="Times New Roman"/>
          <w:sz w:val="24"/>
          <w:szCs w:val="24"/>
        </w:rPr>
        <w:t>institution</w:t>
      </w:r>
      <w:r w:rsidR="00CA6DF8" w:rsidRPr="00773152">
        <w:rPr>
          <w:rFonts w:ascii="Times New Roman" w:eastAsia="Times New Roman" w:hAnsi="Times New Roman" w:cs="Times New Roman"/>
          <w:sz w:val="24"/>
          <w:szCs w:val="24"/>
        </w:rPr>
        <w:t xml:space="preserve">s are no longer required to disclose whether such other legal entities are owned or controlled by a foreign source.  </w:t>
      </w:r>
    </w:p>
    <w:p w14:paraId="17BEA126" w14:textId="10F0A2DD" w:rsidR="00B24C3F" w:rsidRDefault="00BF7556" w:rsidP="006E4D68">
      <w:pPr>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Section 117 of the HEA </w:t>
      </w:r>
      <w:r w:rsidR="0047578A">
        <w:rPr>
          <w:rFonts w:ascii="Times New Roman" w:hAnsi="Times New Roman" w:cs="Times New Roman"/>
          <w:color w:val="000000"/>
          <w:sz w:val="24"/>
          <w:szCs w:val="24"/>
        </w:rPr>
        <w:t>states</w:t>
      </w:r>
      <w:r>
        <w:rPr>
          <w:rFonts w:ascii="Times New Roman" w:hAnsi="Times New Roman" w:cs="Times New Roman"/>
          <w:color w:val="000000"/>
          <w:sz w:val="24"/>
          <w:szCs w:val="24"/>
        </w:rPr>
        <w:t>,</w:t>
      </w:r>
      <w:r w:rsidR="0047578A">
        <w:rPr>
          <w:rFonts w:ascii="Times New Roman" w:hAnsi="Times New Roman" w:cs="Times New Roman"/>
          <w:color w:val="000000"/>
          <w:sz w:val="24"/>
          <w:szCs w:val="24"/>
        </w:rPr>
        <w:t xml:space="preserve"> “</w:t>
      </w:r>
      <w:r w:rsidR="002005BF" w:rsidRPr="00773152">
        <w:rPr>
          <w:rFonts w:ascii="Times New Roman" w:eastAsia="Times New Roman" w:hAnsi="Times New Roman" w:cs="Times New Roman"/>
          <w:sz w:val="24"/>
          <w:szCs w:val="24"/>
        </w:rPr>
        <w:t>whenever any institution</w:t>
      </w:r>
      <w:r w:rsidR="0047578A">
        <w:rPr>
          <w:rFonts w:ascii="Times New Roman" w:eastAsia="Times New Roman" w:hAnsi="Times New Roman" w:cs="Times New Roman"/>
          <w:sz w:val="24"/>
          <w:szCs w:val="24"/>
        </w:rPr>
        <w:t xml:space="preserve">…receives a gift from or enters into a contract with a foreign source,” in the requisite amount, the </w:t>
      </w:r>
      <w:r w:rsidR="002B107B">
        <w:rPr>
          <w:rFonts w:ascii="Times New Roman" w:hAnsi="Times New Roman" w:cs="Times New Roman"/>
          <w:sz w:val="24"/>
          <w:szCs w:val="24"/>
        </w:rPr>
        <w:t>institution</w:t>
      </w:r>
      <w:r w:rsidR="0047578A">
        <w:rPr>
          <w:rFonts w:ascii="Times New Roman" w:eastAsia="Times New Roman" w:hAnsi="Times New Roman" w:cs="Times New Roman"/>
          <w:sz w:val="24"/>
          <w:szCs w:val="24"/>
        </w:rPr>
        <w:t xml:space="preserve"> must file a disclosure report.</w:t>
      </w:r>
      <w:r w:rsidR="002005BF" w:rsidRPr="00773152">
        <w:rPr>
          <w:rFonts w:ascii="Times New Roman" w:eastAsia="Times New Roman" w:hAnsi="Times New Roman" w:cs="Times New Roman"/>
          <w:sz w:val="24"/>
          <w:szCs w:val="24"/>
        </w:rPr>
        <w:t xml:space="preserve"> </w:t>
      </w:r>
      <w:r w:rsidR="00480B12">
        <w:rPr>
          <w:rFonts w:ascii="Times New Roman" w:eastAsia="Times New Roman" w:hAnsi="Times New Roman" w:cs="Times New Roman"/>
          <w:sz w:val="24"/>
          <w:szCs w:val="24"/>
        </w:rPr>
        <w:t>T</w:t>
      </w:r>
      <w:r w:rsidR="00480B12" w:rsidRPr="00480B12">
        <w:rPr>
          <w:rFonts w:ascii="Times New Roman" w:eastAsia="Times New Roman" w:hAnsi="Times New Roman" w:cs="Times New Roman"/>
          <w:sz w:val="24"/>
          <w:szCs w:val="24"/>
        </w:rPr>
        <w:t xml:space="preserve">he Department is aware that </w:t>
      </w:r>
      <w:r w:rsidR="00480B12">
        <w:rPr>
          <w:rFonts w:ascii="Times New Roman" w:eastAsia="Times New Roman" w:hAnsi="Times New Roman" w:cs="Times New Roman"/>
          <w:sz w:val="24"/>
          <w:szCs w:val="24"/>
        </w:rPr>
        <w:t xml:space="preserve">there are </w:t>
      </w:r>
      <w:r w:rsidR="00480B12" w:rsidRPr="00480B12">
        <w:rPr>
          <w:rFonts w:ascii="Times New Roman" w:eastAsia="Times New Roman" w:hAnsi="Times New Roman" w:cs="Times New Roman"/>
          <w:sz w:val="24"/>
          <w:szCs w:val="24"/>
        </w:rPr>
        <w:t>legal entities</w:t>
      </w:r>
      <w:r w:rsidR="00480B12">
        <w:rPr>
          <w:rFonts w:ascii="Times New Roman" w:eastAsia="Times New Roman" w:hAnsi="Times New Roman" w:cs="Times New Roman"/>
          <w:sz w:val="24"/>
          <w:szCs w:val="24"/>
        </w:rPr>
        <w:t xml:space="preserve"> that exist for the purpose of </w:t>
      </w:r>
      <w:r w:rsidR="00480B12" w:rsidRPr="00480B12">
        <w:rPr>
          <w:rFonts w:ascii="Times New Roman" w:eastAsia="Times New Roman" w:hAnsi="Times New Roman" w:cs="Times New Roman"/>
          <w:sz w:val="24"/>
          <w:szCs w:val="24"/>
        </w:rPr>
        <w:t>serv</w:t>
      </w:r>
      <w:r w:rsidR="00480B12">
        <w:rPr>
          <w:rFonts w:ascii="Times New Roman" w:eastAsia="Times New Roman" w:hAnsi="Times New Roman" w:cs="Times New Roman"/>
          <w:sz w:val="24"/>
          <w:szCs w:val="24"/>
        </w:rPr>
        <w:t xml:space="preserve">ing </w:t>
      </w:r>
      <w:r w:rsidR="00480B12" w:rsidRPr="00480B12">
        <w:rPr>
          <w:rFonts w:ascii="Times New Roman" w:eastAsia="Times New Roman" w:hAnsi="Times New Roman" w:cs="Times New Roman"/>
          <w:sz w:val="24"/>
          <w:szCs w:val="24"/>
        </w:rPr>
        <w:t>as an intermediary for certain gifts or contracts</w:t>
      </w:r>
      <w:r w:rsidR="00480B12">
        <w:rPr>
          <w:rFonts w:ascii="Times New Roman" w:eastAsia="Times New Roman" w:hAnsi="Times New Roman" w:cs="Times New Roman"/>
          <w:sz w:val="24"/>
          <w:szCs w:val="24"/>
        </w:rPr>
        <w:t>, including gifts from or contracts with foreign sources</w:t>
      </w:r>
      <w:r w:rsidR="00480B12" w:rsidRPr="00480B12">
        <w:rPr>
          <w:rFonts w:ascii="Times New Roman" w:eastAsia="Times New Roman" w:hAnsi="Times New Roman" w:cs="Times New Roman"/>
          <w:sz w:val="24"/>
          <w:szCs w:val="24"/>
        </w:rPr>
        <w:t xml:space="preserve">.  See </w:t>
      </w:r>
      <w:hyperlink r:id="rId13" w:history="1">
        <w:r w:rsidR="00480B12" w:rsidRPr="00480B12">
          <w:rPr>
            <w:rStyle w:val="Hyperlink"/>
            <w:rFonts w:ascii="Times New Roman" w:eastAsia="Times New Roman" w:hAnsi="Times New Roman" w:cs="Times New Roman"/>
            <w:sz w:val="24"/>
            <w:szCs w:val="24"/>
          </w:rPr>
          <w:t>http://www.usmf.org/files/resources/articles-of-incorporation.pdf</w:t>
        </w:r>
      </w:hyperlink>
      <w:r w:rsidR="00480B12" w:rsidRPr="00480B12">
        <w:rPr>
          <w:rFonts w:ascii="Times New Roman" w:eastAsia="Times New Roman" w:hAnsi="Times New Roman" w:cs="Times New Roman"/>
          <w:sz w:val="24"/>
          <w:szCs w:val="24"/>
        </w:rPr>
        <w:t xml:space="preserve"> and </w:t>
      </w:r>
      <w:hyperlink r:id="rId14" w:history="1">
        <w:r w:rsidR="00480B12" w:rsidRPr="00480B12">
          <w:rPr>
            <w:rStyle w:val="Hyperlink"/>
            <w:rFonts w:ascii="Times New Roman" w:eastAsia="Times New Roman" w:hAnsi="Times New Roman" w:cs="Times New Roman"/>
            <w:sz w:val="24"/>
            <w:szCs w:val="24"/>
          </w:rPr>
          <w:t>https://leadbyexample.tamu.edu/txam-foundation.html</w:t>
        </w:r>
      </w:hyperlink>
      <w:r w:rsidR="00480B12" w:rsidRPr="00480B12">
        <w:rPr>
          <w:rFonts w:ascii="Times New Roman" w:eastAsia="Times New Roman" w:hAnsi="Times New Roman" w:cs="Times New Roman"/>
          <w:sz w:val="24"/>
          <w:szCs w:val="24"/>
        </w:rPr>
        <w:t xml:space="preserve">. </w:t>
      </w:r>
      <w:r w:rsidR="0047578A">
        <w:rPr>
          <w:rFonts w:ascii="Times New Roman" w:eastAsia="Times New Roman" w:hAnsi="Times New Roman" w:cs="Times New Roman"/>
          <w:sz w:val="24"/>
          <w:szCs w:val="24"/>
        </w:rPr>
        <w:t xml:space="preserve">The Department </w:t>
      </w:r>
      <w:r w:rsidR="00480B12">
        <w:rPr>
          <w:rFonts w:ascii="Times New Roman" w:eastAsia="Times New Roman" w:hAnsi="Times New Roman" w:cs="Times New Roman"/>
          <w:sz w:val="24"/>
          <w:szCs w:val="24"/>
        </w:rPr>
        <w:t xml:space="preserve">is bound by statutory text, construed in context and with a view to the words’ place in the statutory scheme, and it </w:t>
      </w:r>
      <w:r w:rsidR="0047578A">
        <w:rPr>
          <w:rFonts w:ascii="Times New Roman" w:eastAsia="Times New Roman" w:hAnsi="Times New Roman" w:cs="Times New Roman"/>
          <w:sz w:val="24"/>
          <w:szCs w:val="24"/>
        </w:rPr>
        <w:t xml:space="preserve">believes the statute </w:t>
      </w:r>
      <w:r w:rsidR="000507B9">
        <w:rPr>
          <w:rFonts w:ascii="Times New Roman" w:eastAsia="Times New Roman" w:hAnsi="Times New Roman" w:cs="Times New Roman"/>
          <w:sz w:val="24"/>
          <w:szCs w:val="24"/>
        </w:rPr>
        <w:t>requires</w:t>
      </w:r>
      <w:r w:rsidR="0047578A">
        <w:rPr>
          <w:rFonts w:ascii="Times New Roman" w:eastAsia="Times New Roman" w:hAnsi="Times New Roman" w:cs="Times New Roman"/>
          <w:sz w:val="24"/>
          <w:szCs w:val="24"/>
        </w:rPr>
        <w:t xml:space="preserve"> an </w:t>
      </w:r>
      <w:r w:rsidR="002B107B">
        <w:rPr>
          <w:rFonts w:ascii="Times New Roman" w:eastAsia="Times New Roman" w:hAnsi="Times New Roman" w:cs="Times New Roman"/>
          <w:sz w:val="24"/>
          <w:szCs w:val="24"/>
        </w:rPr>
        <w:t>institution</w:t>
      </w:r>
      <w:r w:rsidR="0047578A">
        <w:rPr>
          <w:rFonts w:ascii="Times New Roman" w:eastAsia="Times New Roman" w:hAnsi="Times New Roman" w:cs="Times New Roman"/>
          <w:sz w:val="24"/>
          <w:szCs w:val="24"/>
        </w:rPr>
        <w:t xml:space="preserve"> </w:t>
      </w:r>
      <w:r w:rsidR="002005BF" w:rsidRPr="00773152">
        <w:rPr>
          <w:rFonts w:ascii="Times New Roman" w:eastAsia="Times New Roman" w:hAnsi="Times New Roman" w:cs="Times New Roman"/>
          <w:sz w:val="24"/>
          <w:szCs w:val="24"/>
        </w:rPr>
        <w:t>receiv</w:t>
      </w:r>
      <w:r w:rsidR="000507B9">
        <w:rPr>
          <w:rFonts w:ascii="Times New Roman" w:eastAsia="Times New Roman" w:hAnsi="Times New Roman" w:cs="Times New Roman"/>
          <w:sz w:val="24"/>
          <w:szCs w:val="24"/>
        </w:rPr>
        <w:t xml:space="preserve">ing </w:t>
      </w:r>
      <w:r w:rsidR="007F4401" w:rsidRPr="00773152">
        <w:rPr>
          <w:rFonts w:ascii="Times New Roman" w:eastAsia="Times New Roman" w:hAnsi="Times New Roman" w:cs="Times New Roman"/>
          <w:sz w:val="24"/>
          <w:szCs w:val="24"/>
        </w:rPr>
        <w:t xml:space="preserve">the benefit </w:t>
      </w:r>
      <w:r w:rsidR="00CA6DF8" w:rsidRPr="00773152">
        <w:rPr>
          <w:rFonts w:ascii="Times New Roman" w:eastAsia="Times New Roman" w:hAnsi="Times New Roman" w:cs="Times New Roman"/>
          <w:sz w:val="24"/>
          <w:szCs w:val="24"/>
        </w:rPr>
        <w:t xml:space="preserve">of </w:t>
      </w:r>
      <w:r w:rsidR="002005BF" w:rsidRPr="00773152">
        <w:rPr>
          <w:rFonts w:ascii="Times New Roman" w:eastAsia="Times New Roman" w:hAnsi="Times New Roman" w:cs="Times New Roman"/>
          <w:sz w:val="24"/>
          <w:szCs w:val="24"/>
        </w:rPr>
        <w:t>a gift from or a contract with a foreign source, even if through an intermediary</w:t>
      </w:r>
      <w:r w:rsidR="00471870">
        <w:rPr>
          <w:rFonts w:ascii="Times New Roman" w:eastAsia="Times New Roman" w:hAnsi="Times New Roman" w:cs="Times New Roman"/>
          <w:sz w:val="24"/>
          <w:szCs w:val="24"/>
        </w:rPr>
        <w:t>,</w:t>
      </w:r>
      <w:r w:rsidR="00CA6DF8" w:rsidRPr="00773152">
        <w:rPr>
          <w:rFonts w:ascii="Times New Roman" w:eastAsia="Times New Roman" w:hAnsi="Times New Roman" w:cs="Times New Roman"/>
          <w:sz w:val="24"/>
          <w:szCs w:val="24"/>
        </w:rPr>
        <w:t xml:space="preserve"> </w:t>
      </w:r>
      <w:r w:rsidR="0093567B">
        <w:rPr>
          <w:rFonts w:ascii="Times New Roman" w:eastAsia="Times New Roman" w:hAnsi="Times New Roman" w:cs="Times New Roman"/>
          <w:sz w:val="24"/>
          <w:szCs w:val="24"/>
        </w:rPr>
        <w:t>to</w:t>
      </w:r>
      <w:r w:rsidR="0093567B" w:rsidRPr="00773152">
        <w:rPr>
          <w:rFonts w:ascii="Times New Roman" w:eastAsia="Times New Roman" w:hAnsi="Times New Roman" w:cs="Times New Roman"/>
          <w:sz w:val="24"/>
          <w:szCs w:val="24"/>
        </w:rPr>
        <w:t xml:space="preserve"> </w:t>
      </w:r>
      <w:r w:rsidR="00CA6DF8" w:rsidRPr="00773152">
        <w:rPr>
          <w:rFonts w:ascii="Times New Roman" w:eastAsia="Times New Roman" w:hAnsi="Times New Roman" w:cs="Times New Roman"/>
          <w:sz w:val="24"/>
          <w:szCs w:val="24"/>
        </w:rPr>
        <w:t>disclose</w:t>
      </w:r>
      <w:r w:rsidR="00471870">
        <w:rPr>
          <w:rFonts w:ascii="Times New Roman" w:eastAsia="Times New Roman" w:hAnsi="Times New Roman" w:cs="Times New Roman"/>
          <w:sz w:val="24"/>
          <w:szCs w:val="24"/>
        </w:rPr>
        <w:t xml:space="preserve"> </w:t>
      </w:r>
      <w:r w:rsidR="002005BF" w:rsidRPr="00773152">
        <w:rPr>
          <w:rFonts w:ascii="Times New Roman" w:eastAsia="Times New Roman" w:hAnsi="Times New Roman" w:cs="Times New Roman"/>
          <w:sz w:val="24"/>
          <w:szCs w:val="24"/>
        </w:rPr>
        <w:t xml:space="preserve">the </w:t>
      </w:r>
      <w:r w:rsidR="00CA6DF8" w:rsidRPr="00773152">
        <w:rPr>
          <w:rFonts w:ascii="Times New Roman" w:eastAsia="Times New Roman" w:hAnsi="Times New Roman" w:cs="Times New Roman"/>
          <w:sz w:val="24"/>
          <w:szCs w:val="24"/>
        </w:rPr>
        <w:t>gift</w:t>
      </w:r>
      <w:r w:rsidR="005A68B1" w:rsidRPr="00773152">
        <w:rPr>
          <w:rFonts w:ascii="Times New Roman" w:eastAsia="Times New Roman" w:hAnsi="Times New Roman" w:cs="Times New Roman"/>
          <w:sz w:val="24"/>
          <w:szCs w:val="24"/>
        </w:rPr>
        <w:t xml:space="preserve"> or contract</w:t>
      </w:r>
      <w:r w:rsidR="002005BF" w:rsidRPr="00773152">
        <w:rPr>
          <w:rFonts w:ascii="Times New Roman" w:eastAsia="Times New Roman" w:hAnsi="Times New Roman" w:cs="Times New Roman"/>
          <w:sz w:val="24"/>
          <w:szCs w:val="24"/>
        </w:rPr>
        <w:t>.</w:t>
      </w:r>
      <w:r w:rsidR="00480B12">
        <w:rPr>
          <w:rStyle w:val="FootnoteReference"/>
          <w:rFonts w:ascii="Times New Roman" w:eastAsia="Times New Roman" w:hAnsi="Times New Roman" w:cs="Times New Roman"/>
          <w:sz w:val="24"/>
          <w:szCs w:val="24"/>
        </w:rPr>
        <w:footnoteReference w:id="3"/>
      </w:r>
      <w:r w:rsidR="00CA6DF8" w:rsidRPr="00773152">
        <w:rPr>
          <w:rFonts w:ascii="Times New Roman" w:eastAsia="Times New Roman" w:hAnsi="Times New Roman" w:cs="Times New Roman"/>
          <w:sz w:val="24"/>
          <w:szCs w:val="24"/>
        </w:rPr>
        <w:t xml:space="preserve">  </w:t>
      </w:r>
      <w:r w:rsidR="00984A03">
        <w:rPr>
          <w:rFonts w:ascii="Times New Roman" w:eastAsia="Times New Roman" w:hAnsi="Times New Roman" w:cs="Times New Roman"/>
          <w:sz w:val="24"/>
          <w:szCs w:val="24"/>
        </w:rPr>
        <w:t>At</w:t>
      </w:r>
      <w:r w:rsidR="0047578A">
        <w:rPr>
          <w:rFonts w:ascii="Times New Roman" w:eastAsia="Times New Roman" w:hAnsi="Times New Roman" w:cs="Times New Roman"/>
          <w:sz w:val="24"/>
          <w:szCs w:val="24"/>
        </w:rPr>
        <w:t xml:space="preserve"> the very least</w:t>
      </w:r>
      <w:r w:rsidR="00984A03">
        <w:rPr>
          <w:rFonts w:ascii="Times New Roman" w:eastAsia="Times New Roman" w:hAnsi="Times New Roman" w:cs="Times New Roman"/>
          <w:sz w:val="24"/>
          <w:szCs w:val="24"/>
        </w:rPr>
        <w:t>, this is</w:t>
      </w:r>
      <w:r w:rsidR="0047578A">
        <w:rPr>
          <w:rFonts w:ascii="Times New Roman" w:eastAsia="Times New Roman" w:hAnsi="Times New Roman" w:cs="Times New Roman"/>
          <w:sz w:val="24"/>
          <w:szCs w:val="24"/>
        </w:rPr>
        <w:t xml:space="preserve"> a reasonable interpretation</w:t>
      </w:r>
      <w:r w:rsidR="00984A03">
        <w:rPr>
          <w:rFonts w:ascii="Times New Roman" w:eastAsia="Times New Roman" w:hAnsi="Times New Roman" w:cs="Times New Roman"/>
          <w:sz w:val="24"/>
          <w:szCs w:val="24"/>
        </w:rPr>
        <w:t xml:space="preserve"> of the statutory language</w:t>
      </w:r>
      <w:r w:rsidR="00891F9A">
        <w:rPr>
          <w:rFonts w:ascii="Times New Roman" w:eastAsia="Times New Roman" w:hAnsi="Times New Roman" w:cs="Times New Roman"/>
          <w:sz w:val="24"/>
          <w:szCs w:val="24"/>
        </w:rPr>
        <w:t xml:space="preserve"> aligned with the statutory </w:t>
      </w:r>
      <w:r w:rsidR="00480B12">
        <w:rPr>
          <w:rFonts w:ascii="Times New Roman" w:eastAsia="Times New Roman" w:hAnsi="Times New Roman" w:cs="Times New Roman"/>
          <w:sz w:val="24"/>
          <w:szCs w:val="24"/>
        </w:rPr>
        <w:t xml:space="preserve">purpose of transparency </w:t>
      </w:r>
      <w:r w:rsidR="00891F9A">
        <w:rPr>
          <w:rFonts w:ascii="Times New Roman" w:eastAsia="Times New Roman" w:hAnsi="Times New Roman" w:cs="Times New Roman"/>
          <w:sz w:val="24"/>
          <w:szCs w:val="24"/>
        </w:rPr>
        <w:t xml:space="preserve">with regard to </w:t>
      </w:r>
      <w:r w:rsidR="00480B12">
        <w:rPr>
          <w:rFonts w:ascii="Times New Roman" w:eastAsia="Times New Roman" w:hAnsi="Times New Roman" w:cs="Times New Roman"/>
          <w:sz w:val="24"/>
          <w:szCs w:val="24"/>
        </w:rPr>
        <w:t>covered foreign source gifts and contracts</w:t>
      </w:r>
      <w:r w:rsidR="000507B9">
        <w:rPr>
          <w:rFonts w:ascii="Times New Roman" w:eastAsia="Times New Roman" w:hAnsi="Times New Roman" w:cs="Times New Roman"/>
          <w:sz w:val="24"/>
          <w:szCs w:val="24"/>
        </w:rPr>
        <w:t>.</w:t>
      </w:r>
      <w:r w:rsidR="000507B9" w:rsidRPr="000507B9">
        <w:rPr>
          <w:rFonts w:ascii="Times New Roman" w:eastAsia="Times New Roman" w:hAnsi="Times New Roman" w:cs="Times New Roman"/>
          <w:bCs/>
          <w:sz w:val="24"/>
          <w:szCs w:val="24"/>
          <w:vertAlign w:val="superscript"/>
        </w:rPr>
        <w:footnoteReference w:id="4"/>
      </w:r>
      <w:r w:rsidR="00480B12">
        <w:rPr>
          <w:rFonts w:ascii="Times New Roman" w:eastAsia="Times New Roman" w:hAnsi="Times New Roman" w:cs="Times New Roman"/>
          <w:sz w:val="24"/>
          <w:szCs w:val="24"/>
        </w:rPr>
        <w:t xml:space="preserve">  </w:t>
      </w:r>
      <w:r w:rsidR="005A68B1" w:rsidRPr="00773152">
        <w:rPr>
          <w:rFonts w:ascii="Times New Roman" w:eastAsia="Times New Roman" w:hAnsi="Times New Roman" w:cs="Times New Roman"/>
          <w:sz w:val="24"/>
          <w:szCs w:val="24"/>
        </w:rPr>
        <w:t xml:space="preserve">Additionally, </w:t>
      </w:r>
      <w:bookmarkStart w:id="5" w:name="_Hlk27042826"/>
      <w:r w:rsidR="005A68B1" w:rsidRPr="00773152">
        <w:rPr>
          <w:rFonts w:ascii="Times New Roman" w:eastAsia="Times New Roman" w:hAnsi="Times New Roman" w:cs="Times New Roman"/>
          <w:sz w:val="24"/>
          <w:szCs w:val="24"/>
        </w:rPr>
        <w:t xml:space="preserve">the Department is aware that some </w:t>
      </w:r>
      <w:r w:rsidR="002B107B">
        <w:rPr>
          <w:rFonts w:ascii="Times New Roman" w:hAnsi="Times New Roman" w:cs="Times New Roman"/>
          <w:sz w:val="24"/>
          <w:szCs w:val="24"/>
        </w:rPr>
        <w:t>institution</w:t>
      </w:r>
      <w:r w:rsidR="005A68B1" w:rsidRPr="00773152">
        <w:rPr>
          <w:rFonts w:ascii="Times New Roman" w:eastAsia="Times New Roman" w:hAnsi="Times New Roman" w:cs="Times New Roman"/>
          <w:sz w:val="24"/>
          <w:szCs w:val="24"/>
        </w:rPr>
        <w:t xml:space="preserve">s’ </w:t>
      </w:r>
      <w:r w:rsidR="00F60BDB">
        <w:rPr>
          <w:rFonts w:ascii="Times New Roman" w:eastAsia="Times New Roman" w:hAnsi="Times New Roman" w:cs="Times New Roman"/>
          <w:sz w:val="24"/>
          <w:szCs w:val="24"/>
        </w:rPr>
        <w:t>‘</w:t>
      </w:r>
      <w:r w:rsidR="005A68B1" w:rsidRPr="00773152">
        <w:rPr>
          <w:rFonts w:ascii="Times New Roman" w:eastAsia="Times New Roman" w:hAnsi="Times New Roman" w:cs="Times New Roman"/>
          <w:sz w:val="24"/>
          <w:szCs w:val="24"/>
        </w:rPr>
        <w:t>legal entities</w:t>
      </w:r>
      <w:r w:rsidR="002C220E" w:rsidRPr="00773152">
        <w:rPr>
          <w:rFonts w:ascii="Times New Roman" w:eastAsia="Times New Roman" w:hAnsi="Times New Roman" w:cs="Times New Roman"/>
          <w:sz w:val="24"/>
          <w:szCs w:val="24"/>
        </w:rPr>
        <w:t>’ purpose (as articulated in its articles of incorporation for example) is</w:t>
      </w:r>
      <w:r w:rsidR="004F437C" w:rsidRPr="00773152">
        <w:rPr>
          <w:rFonts w:ascii="Times New Roman" w:eastAsia="Times New Roman" w:hAnsi="Times New Roman" w:cs="Times New Roman"/>
          <w:sz w:val="24"/>
          <w:szCs w:val="24"/>
        </w:rPr>
        <w:t xml:space="preserve"> </w:t>
      </w:r>
      <w:r w:rsidR="005A68B1" w:rsidRPr="00773152">
        <w:rPr>
          <w:rFonts w:ascii="Times New Roman" w:eastAsia="Times New Roman" w:hAnsi="Times New Roman" w:cs="Times New Roman"/>
          <w:sz w:val="24"/>
          <w:szCs w:val="24"/>
        </w:rPr>
        <w:t>to</w:t>
      </w:r>
      <w:r w:rsidR="004F437C" w:rsidRPr="00773152">
        <w:rPr>
          <w:rFonts w:ascii="Times New Roman" w:eastAsia="Times New Roman" w:hAnsi="Times New Roman" w:cs="Times New Roman"/>
          <w:sz w:val="24"/>
          <w:szCs w:val="24"/>
        </w:rPr>
        <w:t xml:space="preserve"> </w:t>
      </w:r>
      <w:r w:rsidR="005A68B1" w:rsidRPr="00773152">
        <w:rPr>
          <w:rFonts w:ascii="Times New Roman" w:eastAsia="Times New Roman" w:hAnsi="Times New Roman" w:cs="Times New Roman"/>
          <w:sz w:val="24"/>
          <w:szCs w:val="24"/>
        </w:rPr>
        <w:t>serve as an intermediary for certain gifts or contracts</w:t>
      </w:r>
      <w:r w:rsidR="004F437C" w:rsidRPr="00773152">
        <w:rPr>
          <w:rFonts w:ascii="Times New Roman" w:eastAsia="Times New Roman" w:hAnsi="Times New Roman" w:cs="Times New Roman"/>
          <w:sz w:val="24"/>
          <w:szCs w:val="24"/>
        </w:rPr>
        <w:t xml:space="preserve">.  See </w:t>
      </w:r>
      <w:hyperlink r:id="rId15" w:history="1">
        <w:r w:rsidR="004F437C" w:rsidRPr="00773152">
          <w:rPr>
            <w:rStyle w:val="Hyperlink"/>
            <w:rFonts w:ascii="Times New Roman" w:eastAsia="Times New Roman" w:hAnsi="Times New Roman" w:cs="Times New Roman"/>
            <w:sz w:val="24"/>
            <w:szCs w:val="24"/>
          </w:rPr>
          <w:t>http://www.usmf.org/files/resources/articles-of-incorporation.pdf</w:t>
        </w:r>
      </w:hyperlink>
      <w:r w:rsidR="004F437C" w:rsidRPr="00773152">
        <w:rPr>
          <w:rFonts w:ascii="Times New Roman" w:eastAsia="Times New Roman" w:hAnsi="Times New Roman" w:cs="Times New Roman"/>
          <w:sz w:val="24"/>
          <w:szCs w:val="24"/>
        </w:rPr>
        <w:t xml:space="preserve"> and </w:t>
      </w:r>
      <w:hyperlink r:id="rId16" w:history="1">
        <w:r w:rsidR="004F437C" w:rsidRPr="00773152">
          <w:rPr>
            <w:rStyle w:val="Hyperlink"/>
            <w:rFonts w:ascii="Times New Roman" w:eastAsia="Times New Roman" w:hAnsi="Times New Roman" w:cs="Times New Roman"/>
            <w:sz w:val="24"/>
            <w:szCs w:val="24"/>
          </w:rPr>
          <w:t>https://leadbyexample.tamu.edu/txam-foundation.html</w:t>
        </w:r>
      </w:hyperlink>
      <w:r w:rsidR="004F437C" w:rsidRPr="00773152">
        <w:rPr>
          <w:rFonts w:ascii="Times New Roman" w:eastAsia="Times New Roman" w:hAnsi="Times New Roman" w:cs="Times New Roman"/>
          <w:sz w:val="24"/>
          <w:szCs w:val="24"/>
        </w:rPr>
        <w:t xml:space="preserve">. </w:t>
      </w:r>
      <w:bookmarkEnd w:id="5"/>
      <w:r w:rsidR="004F437C" w:rsidRPr="00773152">
        <w:rPr>
          <w:rFonts w:ascii="Times New Roman" w:eastAsia="Times New Roman" w:hAnsi="Times New Roman" w:cs="Times New Roman"/>
          <w:sz w:val="24"/>
          <w:szCs w:val="24"/>
        </w:rPr>
        <w:t xml:space="preserve"> Where </w:t>
      </w:r>
      <w:r w:rsidR="009147F4">
        <w:rPr>
          <w:rFonts w:ascii="Times New Roman" w:eastAsia="Times New Roman" w:hAnsi="Times New Roman" w:cs="Times New Roman"/>
          <w:sz w:val="24"/>
          <w:szCs w:val="24"/>
        </w:rPr>
        <w:t>a</w:t>
      </w:r>
      <w:r w:rsidR="004F437C" w:rsidRPr="00773152">
        <w:rPr>
          <w:rFonts w:ascii="Times New Roman" w:eastAsia="Times New Roman" w:hAnsi="Times New Roman" w:cs="Times New Roman"/>
          <w:sz w:val="24"/>
          <w:szCs w:val="24"/>
        </w:rPr>
        <w:t xml:space="preserve"> legal entity (e.</w:t>
      </w:r>
      <w:r w:rsidR="00B714BC" w:rsidRPr="00773152">
        <w:rPr>
          <w:rFonts w:ascii="Times New Roman" w:eastAsia="Times New Roman" w:hAnsi="Times New Roman" w:cs="Times New Roman"/>
          <w:sz w:val="24"/>
          <w:szCs w:val="24"/>
        </w:rPr>
        <w:t>g.,</w:t>
      </w:r>
      <w:r w:rsidR="004F437C" w:rsidRPr="00773152">
        <w:rPr>
          <w:rFonts w:ascii="Times New Roman" w:eastAsia="Times New Roman" w:hAnsi="Times New Roman" w:cs="Times New Roman"/>
          <w:sz w:val="24"/>
          <w:szCs w:val="24"/>
        </w:rPr>
        <w:t xml:space="preserve"> a foundation) operates substantially for the benefit or under the auspices of an </w:t>
      </w:r>
      <w:r w:rsidR="002B107B">
        <w:rPr>
          <w:rFonts w:ascii="Times New Roman" w:hAnsi="Times New Roman" w:cs="Times New Roman"/>
          <w:sz w:val="24"/>
          <w:szCs w:val="24"/>
        </w:rPr>
        <w:t>institution</w:t>
      </w:r>
      <w:r w:rsidR="004F437C" w:rsidRPr="00773152">
        <w:rPr>
          <w:rFonts w:ascii="Times New Roman" w:eastAsia="Times New Roman" w:hAnsi="Times New Roman" w:cs="Times New Roman"/>
          <w:sz w:val="24"/>
          <w:szCs w:val="24"/>
        </w:rPr>
        <w:t xml:space="preserve">, there is a rebuttable presumption that when that legal entity receives money or enters into a contract with a foreign source, it is for the benefit of the </w:t>
      </w:r>
      <w:r w:rsidR="006A6F2F">
        <w:rPr>
          <w:rFonts w:ascii="Times New Roman" w:hAnsi="Times New Roman" w:cs="Times New Roman"/>
          <w:sz w:val="24"/>
          <w:szCs w:val="24"/>
        </w:rPr>
        <w:t>institution</w:t>
      </w:r>
      <w:r w:rsidR="00B714BC" w:rsidRPr="00773152">
        <w:rPr>
          <w:rFonts w:ascii="Times New Roman" w:eastAsia="Times New Roman" w:hAnsi="Times New Roman" w:cs="Times New Roman"/>
          <w:sz w:val="24"/>
          <w:szCs w:val="24"/>
        </w:rPr>
        <w:t xml:space="preserve">, and, thus, </w:t>
      </w:r>
      <w:r w:rsidR="004F437C" w:rsidRPr="00773152">
        <w:rPr>
          <w:rFonts w:ascii="Times New Roman" w:eastAsia="Times New Roman" w:hAnsi="Times New Roman" w:cs="Times New Roman"/>
          <w:sz w:val="24"/>
          <w:szCs w:val="24"/>
        </w:rPr>
        <w:t>must be disclosed</w:t>
      </w:r>
      <w:r w:rsidR="00B714BC" w:rsidRPr="00773152">
        <w:rPr>
          <w:rFonts w:ascii="Times New Roman" w:eastAsia="Times New Roman" w:hAnsi="Times New Roman" w:cs="Times New Roman"/>
          <w:sz w:val="24"/>
          <w:szCs w:val="24"/>
        </w:rPr>
        <w:t>.</w:t>
      </w:r>
      <w:r w:rsidR="004F437C" w:rsidRPr="00773152">
        <w:rPr>
          <w:rFonts w:ascii="Times New Roman" w:eastAsia="Times New Roman" w:hAnsi="Times New Roman" w:cs="Times New Roman"/>
          <w:sz w:val="24"/>
          <w:szCs w:val="24"/>
        </w:rPr>
        <w:t xml:space="preserve">  </w:t>
      </w:r>
    </w:p>
    <w:p w14:paraId="04AC7064" w14:textId="7EB2B498" w:rsidR="000E3149" w:rsidRPr="00773152" w:rsidRDefault="000E3149" w:rsidP="006E4D68">
      <w:pPr>
        <w:rPr>
          <w:rFonts w:ascii="Times New Roman" w:eastAsia="Times New Roman" w:hAnsi="Times New Roman" w:cs="Times New Roman"/>
          <w:sz w:val="24"/>
          <w:szCs w:val="24"/>
        </w:rPr>
      </w:pPr>
      <w:r w:rsidRPr="00773152">
        <w:rPr>
          <w:rFonts w:ascii="Times New Roman" w:eastAsia="Times New Roman" w:hAnsi="Times New Roman" w:cs="Times New Roman"/>
          <w:b/>
          <w:sz w:val="24"/>
          <w:szCs w:val="24"/>
        </w:rPr>
        <w:t>Changes</w:t>
      </w:r>
      <w:r w:rsidRPr="00773152">
        <w:rPr>
          <w:rFonts w:ascii="Times New Roman" w:eastAsia="Times New Roman" w:hAnsi="Times New Roman" w:cs="Times New Roman"/>
          <w:sz w:val="24"/>
          <w:szCs w:val="24"/>
        </w:rPr>
        <w:t xml:space="preserve">:  </w:t>
      </w:r>
      <w:r w:rsidR="00B91CDE" w:rsidRPr="00773152">
        <w:rPr>
          <w:rFonts w:ascii="Times New Roman" w:eastAsia="Times New Roman" w:hAnsi="Times New Roman" w:cs="Times New Roman"/>
          <w:sz w:val="24"/>
          <w:szCs w:val="24"/>
        </w:rPr>
        <w:t>We remove</w:t>
      </w:r>
      <w:r w:rsidR="00BC0E5F" w:rsidRPr="00773152">
        <w:rPr>
          <w:rFonts w:ascii="Times New Roman" w:eastAsia="Times New Roman" w:hAnsi="Times New Roman" w:cs="Times New Roman"/>
          <w:sz w:val="24"/>
          <w:szCs w:val="24"/>
        </w:rPr>
        <w:t xml:space="preserve">d </w:t>
      </w:r>
      <w:r w:rsidR="00974DA8" w:rsidRPr="00773152">
        <w:rPr>
          <w:rFonts w:ascii="Times New Roman" w:eastAsia="Times New Roman" w:hAnsi="Times New Roman" w:cs="Times New Roman"/>
          <w:sz w:val="24"/>
          <w:szCs w:val="24"/>
        </w:rPr>
        <w:t>question</w:t>
      </w:r>
      <w:r w:rsidR="00BC0E5F" w:rsidRPr="00773152">
        <w:rPr>
          <w:rFonts w:ascii="Times New Roman" w:eastAsia="Times New Roman" w:hAnsi="Times New Roman" w:cs="Times New Roman"/>
          <w:sz w:val="24"/>
          <w:szCs w:val="24"/>
        </w:rPr>
        <w:t xml:space="preserve"> 1.b and </w:t>
      </w:r>
      <w:r w:rsidR="00974DA8" w:rsidRPr="00773152">
        <w:rPr>
          <w:rFonts w:ascii="Times New Roman" w:eastAsia="Times New Roman" w:hAnsi="Times New Roman" w:cs="Times New Roman"/>
          <w:sz w:val="24"/>
          <w:szCs w:val="24"/>
        </w:rPr>
        <w:t xml:space="preserve">language requiring an </w:t>
      </w:r>
      <w:r w:rsidR="002B107B">
        <w:rPr>
          <w:rFonts w:ascii="Times New Roman" w:hAnsi="Times New Roman" w:cs="Times New Roman"/>
          <w:sz w:val="24"/>
          <w:szCs w:val="24"/>
        </w:rPr>
        <w:t>institution</w:t>
      </w:r>
      <w:r w:rsidR="00974DA8" w:rsidRPr="00773152">
        <w:rPr>
          <w:rFonts w:ascii="Times New Roman" w:eastAsia="Times New Roman" w:hAnsi="Times New Roman" w:cs="Times New Roman"/>
          <w:sz w:val="24"/>
          <w:szCs w:val="24"/>
        </w:rPr>
        <w:t xml:space="preserve"> to disclose whether any legal entity other than the </w:t>
      </w:r>
      <w:r w:rsidR="002B107B">
        <w:rPr>
          <w:rFonts w:ascii="Times New Roman" w:hAnsi="Times New Roman" w:cs="Times New Roman"/>
          <w:sz w:val="24"/>
          <w:szCs w:val="24"/>
        </w:rPr>
        <w:t>institution</w:t>
      </w:r>
      <w:r w:rsidR="00974DA8">
        <w:rPr>
          <w:rFonts w:ascii="Times New Roman" w:hAnsi="Times New Roman" w:cs="Times New Roman"/>
          <w:sz w:val="24"/>
          <w:szCs w:val="24"/>
        </w:rPr>
        <w:t xml:space="preserve"> </w:t>
      </w:r>
      <w:r w:rsidR="00974DA8" w:rsidRPr="00773152">
        <w:rPr>
          <w:rFonts w:ascii="Times New Roman" w:eastAsia="Times New Roman" w:hAnsi="Times New Roman" w:cs="Times New Roman"/>
          <w:sz w:val="24"/>
          <w:szCs w:val="24"/>
        </w:rPr>
        <w:t xml:space="preserve">is owned or controlled by a foreign source in question </w:t>
      </w:r>
      <w:r w:rsidR="00BC0E5F" w:rsidRPr="00773152">
        <w:rPr>
          <w:rFonts w:ascii="Times New Roman" w:eastAsia="Times New Roman" w:hAnsi="Times New Roman" w:cs="Times New Roman"/>
          <w:sz w:val="24"/>
          <w:szCs w:val="24"/>
        </w:rPr>
        <w:t xml:space="preserve">1.c </w:t>
      </w:r>
      <w:r w:rsidR="00974DA8" w:rsidRPr="00773152">
        <w:rPr>
          <w:rFonts w:ascii="Times New Roman" w:eastAsia="Times New Roman" w:hAnsi="Times New Roman" w:cs="Times New Roman"/>
          <w:sz w:val="24"/>
          <w:szCs w:val="24"/>
        </w:rPr>
        <w:t>of th</w:t>
      </w:r>
      <w:r w:rsidR="00BC0E5F" w:rsidRPr="00773152">
        <w:rPr>
          <w:rFonts w:ascii="Times New Roman" w:eastAsia="Times New Roman" w:hAnsi="Times New Roman" w:cs="Times New Roman"/>
          <w:sz w:val="24"/>
          <w:szCs w:val="24"/>
        </w:rPr>
        <w:t xml:space="preserve">e instrument.  </w:t>
      </w:r>
      <w:r w:rsidR="009E5FAB">
        <w:rPr>
          <w:rFonts w:ascii="Times New Roman" w:eastAsia="Times New Roman" w:hAnsi="Times New Roman" w:cs="Times New Roman"/>
          <w:sz w:val="24"/>
          <w:szCs w:val="24"/>
        </w:rPr>
        <w:t xml:space="preserve">We also added language to </w:t>
      </w:r>
      <w:r w:rsidR="005028CC">
        <w:rPr>
          <w:rFonts w:ascii="Times New Roman" w:eastAsia="Times New Roman" w:hAnsi="Times New Roman" w:cs="Times New Roman"/>
          <w:sz w:val="24"/>
          <w:szCs w:val="24"/>
        </w:rPr>
        <w:t xml:space="preserve">items </w:t>
      </w:r>
      <w:r w:rsidR="005028CC" w:rsidRPr="00B4690F">
        <w:rPr>
          <w:rFonts w:ascii="Times New Roman" w:eastAsia="Times New Roman" w:hAnsi="Times New Roman" w:cs="Times New Roman"/>
          <w:sz w:val="24"/>
          <w:szCs w:val="24"/>
        </w:rPr>
        <w:t>2</w:t>
      </w:r>
      <w:r w:rsidR="001D2FD4" w:rsidRPr="00B4690F">
        <w:rPr>
          <w:rFonts w:ascii="Times New Roman" w:eastAsia="Times New Roman" w:hAnsi="Times New Roman" w:cs="Times New Roman"/>
          <w:sz w:val="24"/>
          <w:szCs w:val="24"/>
        </w:rPr>
        <w:t xml:space="preserve"> and 4</w:t>
      </w:r>
      <w:r w:rsidR="005028CC">
        <w:rPr>
          <w:rFonts w:ascii="Times New Roman" w:eastAsia="Times New Roman" w:hAnsi="Times New Roman" w:cs="Times New Roman"/>
          <w:sz w:val="24"/>
          <w:szCs w:val="24"/>
        </w:rPr>
        <w:t xml:space="preserve"> to specify that an </w:t>
      </w:r>
      <w:r w:rsidR="002B107B">
        <w:rPr>
          <w:rFonts w:ascii="Times New Roman" w:hAnsi="Times New Roman" w:cs="Times New Roman"/>
          <w:sz w:val="24"/>
          <w:szCs w:val="24"/>
        </w:rPr>
        <w:t>institution</w:t>
      </w:r>
      <w:r w:rsidR="005028CC">
        <w:rPr>
          <w:rFonts w:ascii="Times New Roman" w:eastAsia="Times New Roman" w:hAnsi="Times New Roman" w:cs="Times New Roman"/>
          <w:sz w:val="24"/>
          <w:szCs w:val="24"/>
        </w:rPr>
        <w:t xml:space="preserve"> must report gifts and contracts when the benefit of the gift or contract is received by an </w:t>
      </w:r>
      <w:r w:rsidR="002B107B">
        <w:rPr>
          <w:rFonts w:ascii="Times New Roman" w:hAnsi="Times New Roman" w:cs="Times New Roman"/>
          <w:sz w:val="24"/>
          <w:szCs w:val="24"/>
        </w:rPr>
        <w:t>institution</w:t>
      </w:r>
      <w:r w:rsidR="005028CC">
        <w:rPr>
          <w:rFonts w:ascii="Times New Roman" w:eastAsia="Times New Roman" w:hAnsi="Times New Roman" w:cs="Times New Roman"/>
          <w:sz w:val="24"/>
          <w:szCs w:val="24"/>
        </w:rPr>
        <w:t xml:space="preserve"> through an intermediary.  </w:t>
      </w:r>
    </w:p>
    <w:bookmarkEnd w:id="4"/>
    <w:p w14:paraId="2AC469B5" w14:textId="207A0536" w:rsidR="000D2FFC" w:rsidRPr="00773152" w:rsidRDefault="006C617B" w:rsidP="000D2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Identifying the Foreign Source</w:t>
      </w:r>
    </w:p>
    <w:p w14:paraId="412E27F4" w14:textId="5DDCFECF" w:rsidR="001616C9" w:rsidRPr="00773152" w:rsidRDefault="00272FD2" w:rsidP="001616C9">
      <w:pPr>
        <w:autoSpaceDE w:val="0"/>
        <w:autoSpaceDN w:val="0"/>
        <w:adjustRightInd w:val="0"/>
        <w:spacing w:after="0" w:line="240" w:lineRule="auto"/>
        <w:rPr>
          <w:rFonts w:ascii="Times New Roman" w:hAnsi="Times New Roman" w:cs="Times New Roman"/>
          <w:sz w:val="24"/>
          <w:szCs w:val="24"/>
        </w:rPr>
      </w:pPr>
      <w:r w:rsidRPr="00773152">
        <w:rPr>
          <w:rFonts w:ascii="Times New Roman" w:hAnsi="Times New Roman" w:cs="Times New Roman"/>
          <w:b/>
          <w:sz w:val="24"/>
          <w:szCs w:val="24"/>
        </w:rPr>
        <w:t>Comments</w:t>
      </w:r>
      <w:r w:rsidRPr="00773152">
        <w:rPr>
          <w:rFonts w:ascii="Times New Roman" w:hAnsi="Times New Roman" w:cs="Times New Roman"/>
          <w:sz w:val="24"/>
          <w:szCs w:val="24"/>
        </w:rPr>
        <w:t xml:space="preserve">:  </w:t>
      </w:r>
      <w:r w:rsidR="00BB3C1D" w:rsidRPr="00773152">
        <w:rPr>
          <w:rFonts w:ascii="Times New Roman" w:hAnsi="Times New Roman" w:cs="Times New Roman"/>
          <w:sz w:val="24"/>
          <w:szCs w:val="24"/>
        </w:rPr>
        <w:t xml:space="preserve">Commenters asserted that questions 2, 3, 4 and 5.a.v-vii about a U.S. </w:t>
      </w:r>
      <w:r w:rsidR="006C617B">
        <w:rPr>
          <w:rFonts w:ascii="Times New Roman" w:hAnsi="Times New Roman" w:cs="Times New Roman"/>
          <w:sz w:val="24"/>
          <w:szCs w:val="24"/>
        </w:rPr>
        <w:t>party</w:t>
      </w:r>
      <w:r w:rsidR="00BB3C1D" w:rsidRPr="00773152">
        <w:rPr>
          <w:rFonts w:ascii="Times New Roman" w:hAnsi="Times New Roman" w:cs="Times New Roman"/>
          <w:sz w:val="24"/>
          <w:szCs w:val="24"/>
        </w:rPr>
        <w:t xml:space="preserve">’s connection to a foreign government are not authorized by 20 U.S.C. 1011f and are not useful or necessary to aggregate the dollar amount of such gifts and contracts attributable to a particular country.  Commenters noted that identifying whether a U.S. </w:t>
      </w:r>
      <w:r w:rsidR="006C617B">
        <w:rPr>
          <w:rFonts w:ascii="Times New Roman" w:hAnsi="Times New Roman" w:cs="Times New Roman"/>
          <w:sz w:val="24"/>
          <w:szCs w:val="24"/>
        </w:rPr>
        <w:t>party</w:t>
      </w:r>
      <w:r w:rsidR="00BB3C1D" w:rsidRPr="00773152">
        <w:rPr>
          <w:rFonts w:ascii="Times New Roman" w:hAnsi="Times New Roman" w:cs="Times New Roman"/>
          <w:sz w:val="24"/>
          <w:szCs w:val="24"/>
        </w:rPr>
        <w:t xml:space="preserve"> is owned or controlled by a foreign source would require </w:t>
      </w:r>
      <w:r w:rsidR="006C617B">
        <w:rPr>
          <w:rFonts w:ascii="Times New Roman" w:hAnsi="Times New Roman" w:cs="Times New Roman"/>
          <w:sz w:val="24"/>
          <w:szCs w:val="24"/>
        </w:rPr>
        <w:t>parties</w:t>
      </w:r>
      <w:r w:rsidR="00BB3C1D" w:rsidRPr="00773152">
        <w:rPr>
          <w:rFonts w:ascii="Times New Roman" w:hAnsi="Times New Roman" w:cs="Times New Roman"/>
          <w:sz w:val="24"/>
          <w:szCs w:val="24"/>
        </w:rPr>
        <w:t xml:space="preserve"> to complete a questionnaire, which would be burdensome.  </w:t>
      </w:r>
      <w:r w:rsidR="00BD52A0" w:rsidRPr="00773152">
        <w:rPr>
          <w:rFonts w:ascii="Times New Roman" w:hAnsi="Times New Roman" w:cs="Times New Roman"/>
          <w:sz w:val="24"/>
          <w:szCs w:val="24"/>
        </w:rPr>
        <w:t>Some commenters were concerned that the terms “substantially financed,” “substantially subsidized,” “substantially controlled” “foreign principal” and “owned in substantial part” are vague and not defined in the proposed collection or in 20 U.S.C. § 1011f(h).</w:t>
      </w:r>
      <w:r w:rsidR="001C6FED">
        <w:rPr>
          <w:rFonts w:ascii="Times New Roman" w:hAnsi="Times New Roman" w:cs="Times New Roman"/>
          <w:sz w:val="24"/>
          <w:szCs w:val="24"/>
        </w:rPr>
        <w:t xml:space="preserve">  </w:t>
      </w:r>
      <w:r w:rsidR="001C6FED" w:rsidRPr="001C6FED">
        <w:rPr>
          <w:rFonts w:ascii="Times New Roman" w:hAnsi="Times New Roman" w:cs="Times New Roman"/>
          <w:sz w:val="24"/>
          <w:szCs w:val="24"/>
        </w:rPr>
        <w:t>Other commenters noted that some parties may have dual citizenship between the U.S. and another country which would further complicate an institution’s ability to answer yes/no questions about whether a party is not a citizen or a national of the United States.</w:t>
      </w:r>
      <w:r w:rsidR="00F231EB">
        <w:rPr>
          <w:rFonts w:ascii="Times New Roman" w:hAnsi="Times New Roman" w:cs="Times New Roman"/>
          <w:sz w:val="24"/>
          <w:szCs w:val="24"/>
        </w:rPr>
        <w:t xml:space="preserve">  </w:t>
      </w:r>
      <w:r w:rsidR="00F231EB" w:rsidRPr="005D3DB8">
        <w:rPr>
          <w:rFonts w:ascii="Times New Roman" w:hAnsi="Times New Roman" w:cs="Times New Roman"/>
          <w:sz w:val="24"/>
          <w:szCs w:val="24"/>
        </w:rPr>
        <w:t>Some commenters asserted that 20 U.S.C. 1011f does not require the disclosure of information about the citizenship of a foreign source donor</w:t>
      </w:r>
      <w:r w:rsidR="00F231EB">
        <w:rPr>
          <w:rFonts w:ascii="Times New Roman" w:hAnsi="Times New Roman" w:cs="Times New Roman"/>
          <w:sz w:val="24"/>
          <w:szCs w:val="24"/>
        </w:rPr>
        <w:t xml:space="preserve"> in questions 2-5a.iii</w:t>
      </w:r>
      <w:r w:rsidR="00F231EB" w:rsidRPr="005D3DB8">
        <w:rPr>
          <w:rFonts w:ascii="Times New Roman" w:hAnsi="Times New Roman" w:cs="Times New Roman"/>
          <w:sz w:val="24"/>
          <w:szCs w:val="24"/>
        </w:rPr>
        <w:t>.</w:t>
      </w:r>
      <w:r w:rsidR="001C6FED" w:rsidRPr="001C6FED">
        <w:rPr>
          <w:rFonts w:ascii="Times New Roman" w:hAnsi="Times New Roman" w:cs="Times New Roman"/>
          <w:sz w:val="24"/>
          <w:szCs w:val="24"/>
        </w:rPr>
        <w:t xml:space="preserve">  </w:t>
      </w:r>
      <w:r w:rsidR="00BD52A0" w:rsidRPr="00773152">
        <w:rPr>
          <w:rFonts w:ascii="Times New Roman" w:hAnsi="Times New Roman" w:cs="Times New Roman"/>
          <w:sz w:val="24"/>
          <w:szCs w:val="24"/>
        </w:rPr>
        <w:t xml:space="preserve">    </w:t>
      </w:r>
      <w:r w:rsidR="006F04CD" w:rsidRPr="00773152">
        <w:rPr>
          <w:rFonts w:ascii="Times New Roman" w:hAnsi="Times New Roman" w:cs="Times New Roman"/>
          <w:sz w:val="24"/>
          <w:szCs w:val="24"/>
        </w:rPr>
        <w:t xml:space="preserve"> </w:t>
      </w:r>
      <w:r w:rsidR="001616C9" w:rsidRPr="00773152">
        <w:rPr>
          <w:rFonts w:ascii="Times New Roman" w:hAnsi="Times New Roman" w:cs="Times New Roman"/>
          <w:sz w:val="24"/>
          <w:szCs w:val="24"/>
        </w:rPr>
        <w:t xml:space="preserve">  </w:t>
      </w:r>
    </w:p>
    <w:p w14:paraId="0B231F04" w14:textId="77777777" w:rsidR="00272FD2" w:rsidRPr="00773152" w:rsidRDefault="00272FD2" w:rsidP="00272FD2">
      <w:pPr>
        <w:autoSpaceDE w:val="0"/>
        <w:autoSpaceDN w:val="0"/>
        <w:adjustRightInd w:val="0"/>
        <w:spacing w:after="0" w:line="240" w:lineRule="auto"/>
        <w:rPr>
          <w:rFonts w:ascii="Times New Roman" w:hAnsi="Times New Roman" w:cs="Times New Roman"/>
          <w:sz w:val="24"/>
          <w:szCs w:val="24"/>
        </w:rPr>
      </w:pPr>
    </w:p>
    <w:p w14:paraId="67E09D39" w14:textId="7DEE5DAC" w:rsidR="00034130" w:rsidRDefault="00272FD2" w:rsidP="00272FD2">
      <w:pPr>
        <w:autoSpaceDE w:val="0"/>
        <w:autoSpaceDN w:val="0"/>
        <w:adjustRightInd w:val="0"/>
        <w:spacing w:after="0" w:line="240" w:lineRule="auto"/>
        <w:rPr>
          <w:rFonts w:ascii="Times New Roman" w:hAnsi="Times New Roman" w:cs="Times New Roman"/>
          <w:sz w:val="24"/>
          <w:szCs w:val="24"/>
        </w:rPr>
      </w:pPr>
      <w:r w:rsidRPr="00773152">
        <w:rPr>
          <w:rFonts w:ascii="Times New Roman" w:hAnsi="Times New Roman" w:cs="Times New Roman"/>
          <w:b/>
          <w:sz w:val="24"/>
          <w:szCs w:val="24"/>
        </w:rPr>
        <w:t>Response</w:t>
      </w:r>
      <w:r w:rsidRPr="00773152">
        <w:rPr>
          <w:rFonts w:ascii="Times New Roman" w:hAnsi="Times New Roman" w:cs="Times New Roman"/>
          <w:sz w:val="24"/>
          <w:szCs w:val="24"/>
        </w:rPr>
        <w:t xml:space="preserve">:  </w:t>
      </w:r>
      <w:r w:rsidR="001A019B" w:rsidRPr="00773152">
        <w:rPr>
          <w:rFonts w:ascii="Times New Roman" w:hAnsi="Times New Roman" w:cs="Times New Roman"/>
          <w:sz w:val="24"/>
          <w:szCs w:val="24"/>
        </w:rPr>
        <w:t xml:space="preserve">We removed these questions </w:t>
      </w:r>
      <w:r w:rsidR="00B224BA">
        <w:rPr>
          <w:rFonts w:ascii="Times New Roman" w:hAnsi="Times New Roman" w:cs="Times New Roman"/>
          <w:sz w:val="24"/>
          <w:szCs w:val="24"/>
        </w:rPr>
        <w:t xml:space="preserve">but want to emphasize that </w:t>
      </w:r>
      <w:r w:rsidR="001A019B" w:rsidRPr="00773152">
        <w:rPr>
          <w:rFonts w:ascii="Times New Roman" w:hAnsi="Times New Roman" w:cs="Times New Roman"/>
          <w:sz w:val="24"/>
          <w:szCs w:val="24"/>
        </w:rPr>
        <w:t>there are instances where a U.S. citizen or a U.S. corporation could act as an agent o</w:t>
      </w:r>
      <w:r w:rsidR="00E8599D">
        <w:rPr>
          <w:rFonts w:ascii="Times New Roman" w:hAnsi="Times New Roman" w:cs="Times New Roman"/>
          <w:sz w:val="24"/>
          <w:szCs w:val="24"/>
        </w:rPr>
        <w:t>n</w:t>
      </w:r>
      <w:r w:rsidR="001A019B" w:rsidRPr="00773152">
        <w:rPr>
          <w:rFonts w:ascii="Times New Roman" w:hAnsi="Times New Roman" w:cs="Times New Roman"/>
          <w:sz w:val="24"/>
          <w:szCs w:val="24"/>
        </w:rPr>
        <w:t xml:space="preserve"> </w:t>
      </w:r>
      <w:r w:rsidR="00303AF6">
        <w:rPr>
          <w:rFonts w:ascii="Times New Roman" w:hAnsi="Times New Roman" w:cs="Times New Roman"/>
          <w:sz w:val="24"/>
          <w:szCs w:val="24"/>
        </w:rPr>
        <w:t xml:space="preserve">behalf of </w:t>
      </w:r>
      <w:r w:rsidR="001A019B" w:rsidRPr="00773152">
        <w:rPr>
          <w:rFonts w:ascii="Times New Roman" w:hAnsi="Times New Roman" w:cs="Times New Roman"/>
          <w:sz w:val="24"/>
          <w:szCs w:val="24"/>
        </w:rPr>
        <w:t xml:space="preserve">a foreign source </w:t>
      </w:r>
      <w:r w:rsidR="00303AF6">
        <w:rPr>
          <w:rFonts w:ascii="Times New Roman" w:hAnsi="Times New Roman" w:cs="Times New Roman"/>
          <w:sz w:val="24"/>
          <w:szCs w:val="24"/>
        </w:rPr>
        <w:t>and, thus, be considered a foreign source under 20 U.S.C. 1011f(h)(2)</w:t>
      </w:r>
      <w:r w:rsidR="001A019B" w:rsidRPr="00773152">
        <w:rPr>
          <w:rFonts w:ascii="Times New Roman" w:hAnsi="Times New Roman" w:cs="Times New Roman"/>
          <w:sz w:val="24"/>
          <w:szCs w:val="24"/>
        </w:rPr>
        <w:t xml:space="preserve">.  Gifts or contracts from an agent </w:t>
      </w:r>
      <w:r w:rsidR="00CE78E7" w:rsidRPr="00773152">
        <w:rPr>
          <w:rFonts w:ascii="Times New Roman" w:hAnsi="Times New Roman" w:cs="Times New Roman"/>
          <w:sz w:val="24"/>
          <w:szCs w:val="24"/>
        </w:rPr>
        <w:t xml:space="preserve">acting on behalf </w:t>
      </w:r>
      <w:r w:rsidR="001A019B" w:rsidRPr="00773152">
        <w:rPr>
          <w:rFonts w:ascii="Times New Roman" w:hAnsi="Times New Roman" w:cs="Times New Roman"/>
          <w:sz w:val="24"/>
          <w:szCs w:val="24"/>
        </w:rPr>
        <w:t xml:space="preserve">of a foreign source must be disclosed in accordance with 20 U.S.C. 1011f.  </w:t>
      </w:r>
      <w:r w:rsidR="00965A9D" w:rsidRPr="00773152">
        <w:rPr>
          <w:rFonts w:ascii="Times New Roman" w:hAnsi="Times New Roman" w:cs="Times New Roman"/>
          <w:sz w:val="24"/>
          <w:szCs w:val="24"/>
        </w:rPr>
        <w:t>Under the statute</w:t>
      </w:r>
      <w:r w:rsidR="00FB7774" w:rsidRPr="00773152">
        <w:rPr>
          <w:rFonts w:ascii="Times New Roman" w:hAnsi="Times New Roman" w:cs="Times New Roman"/>
          <w:sz w:val="24"/>
          <w:szCs w:val="24"/>
        </w:rPr>
        <w:t xml:space="preserve">, </w:t>
      </w:r>
      <w:r w:rsidR="006D0B47">
        <w:rPr>
          <w:rFonts w:ascii="Times New Roman" w:hAnsi="Times New Roman" w:cs="Times New Roman"/>
          <w:sz w:val="24"/>
          <w:szCs w:val="24"/>
        </w:rPr>
        <w:t>institutions</w:t>
      </w:r>
      <w:r w:rsidR="00965A9D" w:rsidRPr="00773152">
        <w:rPr>
          <w:rFonts w:ascii="Times New Roman" w:hAnsi="Times New Roman" w:cs="Times New Roman"/>
          <w:sz w:val="24"/>
          <w:szCs w:val="24"/>
        </w:rPr>
        <w:t xml:space="preserve"> have </w:t>
      </w:r>
      <w:r w:rsidR="00A024C2" w:rsidRPr="00773152">
        <w:rPr>
          <w:rFonts w:ascii="Times New Roman" w:hAnsi="Times New Roman" w:cs="Times New Roman"/>
          <w:sz w:val="24"/>
          <w:szCs w:val="24"/>
        </w:rPr>
        <w:t xml:space="preserve">a duty to </w:t>
      </w:r>
      <w:r w:rsidR="00FB7774" w:rsidRPr="00773152">
        <w:rPr>
          <w:rFonts w:ascii="Times New Roman" w:hAnsi="Times New Roman" w:cs="Times New Roman"/>
          <w:sz w:val="24"/>
          <w:szCs w:val="24"/>
        </w:rPr>
        <w:t xml:space="preserve">exercise due diligence </w:t>
      </w:r>
      <w:r w:rsidR="00DF0A57" w:rsidRPr="00773152">
        <w:rPr>
          <w:rFonts w:ascii="Times New Roman" w:hAnsi="Times New Roman" w:cs="Times New Roman"/>
          <w:sz w:val="24"/>
          <w:szCs w:val="24"/>
        </w:rPr>
        <w:t xml:space="preserve">and </w:t>
      </w:r>
      <w:r w:rsidR="00FB7774" w:rsidRPr="00773152">
        <w:rPr>
          <w:rFonts w:ascii="Times New Roman" w:hAnsi="Times New Roman" w:cs="Times New Roman"/>
          <w:sz w:val="24"/>
          <w:szCs w:val="24"/>
        </w:rPr>
        <w:t>to</w:t>
      </w:r>
      <w:r w:rsidR="00A024C2" w:rsidRPr="00773152">
        <w:rPr>
          <w:rFonts w:ascii="Times New Roman" w:hAnsi="Times New Roman" w:cs="Times New Roman"/>
          <w:sz w:val="24"/>
          <w:szCs w:val="24"/>
        </w:rPr>
        <w:t xml:space="preserve"> </w:t>
      </w:r>
      <w:r w:rsidR="00DF0A57" w:rsidRPr="00773152">
        <w:rPr>
          <w:rFonts w:ascii="Times New Roman" w:hAnsi="Times New Roman" w:cs="Times New Roman"/>
          <w:sz w:val="24"/>
          <w:szCs w:val="24"/>
        </w:rPr>
        <w:t>make a good faith effort to determine</w:t>
      </w:r>
      <w:r w:rsidR="00965A9D" w:rsidRPr="00773152">
        <w:rPr>
          <w:rFonts w:ascii="Times New Roman" w:hAnsi="Times New Roman" w:cs="Times New Roman"/>
          <w:sz w:val="24"/>
          <w:szCs w:val="24"/>
        </w:rPr>
        <w:t xml:space="preserve"> whether a gift or contract involves an agent </w:t>
      </w:r>
      <w:r w:rsidR="00303AF6">
        <w:rPr>
          <w:rFonts w:ascii="Times New Roman" w:hAnsi="Times New Roman" w:cs="Times New Roman"/>
          <w:sz w:val="24"/>
          <w:szCs w:val="24"/>
        </w:rPr>
        <w:t xml:space="preserve">acting on behalf </w:t>
      </w:r>
      <w:r w:rsidR="00965A9D" w:rsidRPr="00773152">
        <w:rPr>
          <w:rFonts w:ascii="Times New Roman" w:hAnsi="Times New Roman" w:cs="Times New Roman"/>
          <w:sz w:val="24"/>
          <w:szCs w:val="24"/>
        </w:rPr>
        <w:t xml:space="preserve">of a foreign source.  </w:t>
      </w:r>
      <w:r w:rsidR="00CE78E7" w:rsidRPr="00773152">
        <w:rPr>
          <w:rFonts w:ascii="Times New Roman" w:hAnsi="Times New Roman" w:cs="Times New Roman"/>
          <w:sz w:val="24"/>
          <w:szCs w:val="24"/>
        </w:rPr>
        <w:t>We believe that the term “agent” has a plain meaning, which can be informed by State law and the Foreign Agents Registration Act</w:t>
      </w:r>
      <w:r w:rsidR="00074E21">
        <w:rPr>
          <w:rFonts w:ascii="Times New Roman" w:hAnsi="Times New Roman" w:cs="Times New Roman"/>
          <w:sz w:val="24"/>
          <w:szCs w:val="24"/>
        </w:rPr>
        <w:t xml:space="preserve">, </w:t>
      </w:r>
      <w:hyperlink r:id="rId17" w:tgtFrame="_blank" w:history="1">
        <w:r w:rsidR="00B30DA0" w:rsidRPr="00B30DA0">
          <w:rPr>
            <w:rStyle w:val="Hyperlink"/>
            <w:rFonts w:ascii="Times New Roman" w:hAnsi="Times New Roman" w:cs="Times New Roman"/>
            <w:sz w:val="24"/>
            <w:szCs w:val="24"/>
          </w:rPr>
          <w:t>22 U.S.C. § 611 et seq</w:t>
        </w:r>
      </w:hyperlink>
      <w:r w:rsidR="00B30DA0">
        <w:rPr>
          <w:rFonts w:ascii="Times New Roman" w:hAnsi="Times New Roman" w:cs="Times New Roman"/>
          <w:sz w:val="24"/>
          <w:szCs w:val="24"/>
        </w:rPr>
        <w:t>,</w:t>
      </w:r>
      <w:r w:rsidR="000507B9">
        <w:rPr>
          <w:rFonts w:ascii="Times New Roman" w:hAnsi="Times New Roman" w:cs="Times New Roman"/>
          <w:sz w:val="24"/>
          <w:szCs w:val="24"/>
        </w:rPr>
        <w:t xml:space="preserve"> in appropriate cases</w:t>
      </w:r>
      <w:r w:rsidR="00CE78E7" w:rsidRPr="00773152">
        <w:rPr>
          <w:rFonts w:ascii="Times New Roman" w:hAnsi="Times New Roman" w:cs="Times New Roman"/>
          <w:sz w:val="24"/>
          <w:szCs w:val="24"/>
        </w:rPr>
        <w:t xml:space="preserve">.  </w:t>
      </w:r>
    </w:p>
    <w:p w14:paraId="71AA8898" w14:textId="77777777" w:rsidR="00034130" w:rsidRDefault="00034130" w:rsidP="00272FD2">
      <w:pPr>
        <w:autoSpaceDE w:val="0"/>
        <w:autoSpaceDN w:val="0"/>
        <w:adjustRightInd w:val="0"/>
        <w:spacing w:after="0" w:line="240" w:lineRule="auto"/>
        <w:rPr>
          <w:rFonts w:ascii="Times New Roman" w:hAnsi="Times New Roman" w:cs="Times New Roman"/>
          <w:sz w:val="24"/>
          <w:szCs w:val="24"/>
        </w:rPr>
      </w:pPr>
    </w:p>
    <w:p w14:paraId="5D699339" w14:textId="285CAA5F" w:rsidR="00272FD2" w:rsidRPr="00773152" w:rsidRDefault="00773152" w:rsidP="00272F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note that </w:t>
      </w:r>
      <w:r w:rsidR="00034130">
        <w:rPr>
          <w:rFonts w:ascii="Times New Roman" w:hAnsi="Times New Roman" w:cs="Times New Roman"/>
          <w:sz w:val="24"/>
          <w:szCs w:val="24"/>
        </w:rPr>
        <w:t>an individual who has dual citizenship</w:t>
      </w:r>
      <w:r w:rsidR="00E8599D">
        <w:rPr>
          <w:rFonts w:ascii="Times New Roman" w:hAnsi="Times New Roman" w:cs="Times New Roman"/>
          <w:sz w:val="24"/>
          <w:szCs w:val="24"/>
        </w:rPr>
        <w:t xml:space="preserve"> that</w:t>
      </w:r>
      <w:r w:rsidR="00034130">
        <w:rPr>
          <w:rFonts w:ascii="Times New Roman" w:hAnsi="Times New Roman" w:cs="Times New Roman"/>
          <w:sz w:val="24"/>
          <w:szCs w:val="24"/>
        </w:rPr>
        <w:t xml:space="preserve"> includ</w:t>
      </w:r>
      <w:r w:rsidR="00E8599D">
        <w:rPr>
          <w:rFonts w:ascii="Times New Roman" w:hAnsi="Times New Roman" w:cs="Times New Roman"/>
          <w:sz w:val="24"/>
          <w:szCs w:val="24"/>
        </w:rPr>
        <w:t>es</w:t>
      </w:r>
      <w:r w:rsidR="00034130">
        <w:rPr>
          <w:rFonts w:ascii="Times New Roman" w:hAnsi="Times New Roman" w:cs="Times New Roman"/>
          <w:sz w:val="24"/>
          <w:szCs w:val="24"/>
        </w:rPr>
        <w:t xml:space="preserve"> United States citizenship does not qualify as a foreign source </w:t>
      </w:r>
      <w:r>
        <w:rPr>
          <w:rFonts w:ascii="Times New Roman" w:hAnsi="Times New Roman" w:cs="Times New Roman"/>
          <w:sz w:val="24"/>
          <w:szCs w:val="24"/>
        </w:rPr>
        <w:t>under 20 U.S.C. 1011f(h)(2)(C).</w:t>
      </w:r>
      <w:r w:rsidR="00CE78E7" w:rsidRPr="00773152">
        <w:rPr>
          <w:rFonts w:ascii="Times New Roman" w:hAnsi="Times New Roman" w:cs="Times New Roman"/>
          <w:sz w:val="24"/>
          <w:szCs w:val="24"/>
        </w:rPr>
        <w:t xml:space="preserve">  </w:t>
      </w:r>
      <w:r w:rsidR="00B97C49" w:rsidRPr="00773152">
        <w:rPr>
          <w:rFonts w:ascii="Times New Roman" w:hAnsi="Times New Roman" w:cs="Times New Roman"/>
          <w:sz w:val="24"/>
          <w:szCs w:val="24"/>
        </w:rPr>
        <w:t xml:space="preserve">The Department understands that </w:t>
      </w:r>
      <w:r w:rsidR="00E8599D">
        <w:rPr>
          <w:rFonts w:ascii="Times New Roman" w:hAnsi="Times New Roman" w:cs="Times New Roman"/>
          <w:sz w:val="24"/>
          <w:szCs w:val="24"/>
        </w:rPr>
        <w:t>determining</w:t>
      </w:r>
      <w:r w:rsidR="00965A9D" w:rsidRPr="00773152">
        <w:rPr>
          <w:rFonts w:ascii="Times New Roman" w:hAnsi="Times New Roman" w:cs="Times New Roman"/>
          <w:sz w:val="24"/>
          <w:szCs w:val="24"/>
        </w:rPr>
        <w:t xml:space="preserve"> whether a</w:t>
      </w:r>
      <w:r w:rsidR="002D68AF" w:rsidRPr="00773152">
        <w:rPr>
          <w:rFonts w:ascii="Times New Roman" w:hAnsi="Times New Roman" w:cs="Times New Roman"/>
          <w:sz w:val="24"/>
          <w:szCs w:val="24"/>
        </w:rPr>
        <w:t xml:space="preserve"> </w:t>
      </w:r>
      <w:r w:rsidR="00965A9D" w:rsidRPr="00773152">
        <w:rPr>
          <w:rFonts w:ascii="Times New Roman" w:hAnsi="Times New Roman" w:cs="Times New Roman"/>
          <w:sz w:val="24"/>
          <w:szCs w:val="24"/>
        </w:rPr>
        <w:t xml:space="preserve">U.S. </w:t>
      </w:r>
      <w:r w:rsidR="006C617B">
        <w:rPr>
          <w:rFonts w:ascii="Times New Roman" w:hAnsi="Times New Roman" w:cs="Times New Roman"/>
          <w:sz w:val="24"/>
          <w:szCs w:val="24"/>
        </w:rPr>
        <w:t>party</w:t>
      </w:r>
      <w:r w:rsidR="00965A9D" w:rsidRPr="00773152">
        <w:rPr>
          <w:rFonts w:ascii="Times New Roman" w:hAnsi="Times New Roman" w:cs="Times New Roman"/>
          <w:sz w:val="24"/>
          <w:szCs w:val="24"/>
        </w:rPr>
        <w:t xml:space="preserve"> is acting as an agent of</w:t>
      </w:r>
      <w:r w:rsidR="000C7220" w:rsidRPr="00773152">
        <w:rPr>
          <w:rFonts w:ascii="Times New Roman" w:hAnsi="Times New Roman" w:cs="Times New Roman"/>
          <w:sz w:val="24"/>
          <w:szCs w:val="24"/>
        </w:rPr>
        <w:t xml:space="preserve"> a </w:t>
      </w:r>
      <w:r w:rsidR="00B97C49" w:rsidRPr="00773152">
        <w:rPr>
          <w:rFonts w:ascii="Times New Roman" w:hAnsi="Times New Roman" w:cs="Times New Roman"/>
          <w:sz w:val="24"/>
          <w:szCs w:val="24"/>
        </w:rPr>
        <w:t>fore</w:t>
      </w:r>
      <w:r w:rsidR="00B97C49" w:rsidRPr="00773152">
        <w:rPr>
          <w:rFonts w:ascii="Times New Roman" w:eastAsia="Times New Roman" w:hAnsi="Times New Roman" w:cs="Times New Roman"/>
          <w:sz w:val="24"/>
          <w:szCs w:val="24"/>
        </w:rPr>
        <w:t xml:space="preserve">ign source may </w:t>
      </w:r>
      <w:r w:rsidR="003316C7" w:rsidRPr="00773152">
        <w:rPr>
          <w:rFonts w:ascii="Times New Roman" w:eastAsia="Times New Roman" w:hAnsi="Times New Roman" w:cs="Times New Roman"/>
          <w:sz w:val="24"/>
          <w:szCs w:val="24"/>
        </w:rPr>
        <w:t>take time</w:t>
      </w:r>
      <w:r w:rsidR="00B97C49" w:rsidRPr="00773152">
        <w:rPr>
          <w:rFonts w:ascii="Times New Roman" w:eastAsia="Times New Roman" w:hAnsi="Times New Roman" w:cs="Times New Roman"/>
          <w:sz w:val="24"/>
          <w:szCs w:val="24"/>
        </w:rPr>
        <w:t xml:space="preserve"> but 20 U.S.C. 1011f requires </w:t>
      </w:r>
      <w:r w:rsidR="002B107B">
        <w:rPr>
          <w:rFonts w:ascii="Times New Roman" w:hAnsi="Times New Roman" w:cs="Times New Roman"/>
          <w:sz w:val="24"/>
          <w:szCs w:val="24"/>
        </w:rPr>
        <w:t>institution</w:t>
      </w:r>
      <w:r w:rsidR="00F310A2" w:rsidRPr="00773152">
        <w:rPr>
          <w:rFonts w:ascii="Times New Roman" w:eastAsia="Times New Roman" w:hAnsi="Times New Roman" w:cs="Times New Roman"/>
          <w:sz w:val="24"/>
          <w:szCs w:val="24"/>
        </w:rPr>
        <w:t xml:space="preserve">s do so </w:t>
      </w:r>
      <w:r w:rsidR="00B97C49" w:rsidRPr="00773152">
        <w:rPr>
          <w:rFonts w:ascii="Times New Roman" w:eastAsia="Times New Roman" w:hAnsi="Times New Roman" w:cs="Times New Roman"/>
          <w:sz w:val="24"/>
          <w:szCs w:val="24"/>
        </w:rPr>
        <w:t>when accepting gifts or contracts</w:t>
      </w:r>
      <w:r w:rsidR="00F310A2" w:rsidRPr="00773152">
        <w:rPr>
          <w:rFonts w:ascii="Times New Roman" w:eastAsia="Times New Roman" w:hAnsi="Times New Roman" w:cs="Times New Roman"/>
          <w:sz w:val="24"/>
          <w:szCs w:val="24"/>
        </w:rPr>
        <w:t xml:space="preserve"> and does not provide an exception </w:t>
      </w:r>
      <w:r w:rsidR="00FB7774" w:rsidRPr="00773152">
        <w:rPr>
          <w:rFonts w:ascii="Times New Roman" w:eastAsia="Times New Roman" w:hAnsi="Times New Roman" w:cs="Times New Roman"/>
          <w:sz w:val="24"/>
          <w:szCs w:val="24"/>
        </w:rPr>
        <w:t>when</w:t>
      </w:r>
      <w:r w:rsidR="00A024C2" w:rsidRPr="00773152">
        <w:rPr>
          <w:rFonts w:ascii="Times New Roman" w:eastAsia="Times New Roman" w:hAnsi="Times New Roman" w:cs="Times New Roman"/>
          <w:sz w:val="24"/>
          <w:szCs w:val="24"/>
        </w:rPr>
        <w:t xml:space="preserve"> </w:t>
      </w:r>
      <w:r w:rsidR="002B107B">
        <w:rPr>
          <w:rFonts w:ascii="Times New Roman" w:hAnsi="Times New Roman" w:cs="Times New Roman"/>
          <w:sz w:val="24"/>
          <w:szCs w:val="24"/>
        </w:rPr>
        <w:t>institution</w:t>
      </w:r>
      <w:r w:rsidR="00F310A2" w:rsidRPr="00773152">
        <w:rPr>
          <w:rFonts w:ascii="Times New Roman" w:eastAsia="Times New Roman" w:hAnsi="Times New Roman" w:cs="Times New Roman"/>
          <w:sz w:val="24"/>
          <w:szCs w:val="24"/>
        </w:rPr>
        <w:t xml:space="preserve">s </w:t>
      </w:r>
      <w:r w:rsidR="00A024C2" w:rsidRPr="00773152">
        <w:rPr>
          <w:rFonts w:ascii="Times New Roman" w:eastAsia="Times New Roman" w:hAnsi="Times New Roman" w:cs="Times New Roman"/>
          <w:sz w:val="24"/>
          <w:szCs w:val="24"/>
        </w:rPr>
        <w:t>feel</w:t>
      </w:r>
      <w:r w:rsidR="00F310A2" w:rsidRPr="00773152">
        <w:rPr>
          <w:rFonts w:ascii="Times New Roman" w:eastAsia="Times New Roman" w:hAnsi="Times New Roman" w:cs="Times New Roman"/>
          <w:sz w:val="24"/>
          <w:szCs w:val="24"/>
        </w:rPr>
        <w:t xml:space="preserve"> the process is too burdensome.</w:t>
      </w:r>
      <w:r w:rsidR="00B97C49" w:rsidRPr="00773152">
        <w:rPr>
          <w:rFonts w:ascii="Times New Roman" w:eastAsia="Times New Roman" w:hAnsi="Times New Roman" w:cs="Times New Roman"/>
          <w:sz w:val="24"/>
          <w:szCs w:val="24"/>
        </w:rPr>
        <w:t xml:space="preserve"> </w:t>
      </w:r>
      <w:r w:rsidR="00A024C2" w:rsidRPr="00773152">
        <w:rPr>
          <w:rFonts w:ascii="Times New Roman" w:eastAsia="Times New Roman" w:hAnsi="Times New Roman" w:cs="Times New Roman"/>
          <w:sz w:val="24"/>
          <w:szCs w:val="24"/>
        </w:rPr>
        <w:t xml:space="preserve"> </w:t>
      </w:r>
    </w:p>
    <w:p w14:paraId="3641E971" w14:textId="435CFB96" w:rsidR="00272FD2" w:rsidRDefault="00272FD2" w:rsidP="00272FD2">
      <w:pPr>
        <w:autoSpaceDE w:val="0"/>
        <w:autoSpaceDN w:val="0"/>
        <w:adjustRightInd w:val="0"/>
        <w:spacing w:after="0" w:line="240" w:lineRule="auto"/>
        <w:rPr>
          <w:rFonts w:ascii="Times New Roman" w:hAnsi="Times New Roman" w:cs="Times New Roman"/>
          <w:sz w:val="24"/>
          <w:szCs w:val="24"/>
        </w:rPr>
      </w:pPr>
    </w:p>
    <w:p w14:paraId="03CB44A6" w14:textId="77777777" w:rsidR="00F231EB" w:rsidRDefault="00F231EB" w:rsidP="00F231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questions that ask about whether a gift or contract involves </w:t>
      </w:r>
      <w:r w:rsidRPr="009A43F5">
        <w:rPr>
          <w:rFonts w:ascii="Times New Roman" w:hAnsi="Times New Roman" w:cs="Times New Roman"/>
          <w:sz w:val="24"/>
          <w:szCs w:val="24"/>
        </w:rPr>
        <w:t>an individual who is not a citizen or a national of the United States or a trust territory or protectorate thereof</w:t>
      </w:r>
      <w:r>
        <w:rPr>
          <w:rFonts w:ascii="Times New Roman" w:hAnsi="Times New Roman" w:cs="Times New Roman"/>
          <w:sz w:val="24"/>
          <w:szCs w:val="24"/>
        </w:rPr>
        <w:t xml:space="preserve"> tracks language from 20 U.S.C. 1011f(h)(2)(C) and, therefore, we disagree with the commenters that this is not information that is required to be disclosed.  </w:t>
      </w:r>
    </w:p>
    <w:p w14:paraId="612C83DB" w14:textId="77777777" w:rsidR="00F231EB" w:rsidRPr="00773152" w:rsidRDefault="00F231EB" w:rsidP="00272FD2">
      <w:pPr>
        <w:autoSpaceDE w:val="0"/>
        <w:autoSpaceDN w:val="0"/>
        <w:adjustRightInd w:val="0"/>
        <w:spacing w:after="0" w:line="240" w:lineRule="auto"/>
        <w:rPr>
          <w:rFonts w:ascii="Times New Roman" w:hAnsi="Times New Roman" w:cs="Times New Roman"/>
          <w:sz w:val="24"/>
          <w:szCs w:val="24"/>
        </w:rPr>
      </w:pPr>
    </w:p>
    <w:p w14:paraId="0927E9D5" w14:textId="6D7CAD49" w:rsidR="00425894" w:rsidRPr="00507ADF" w:rsidRDefault="00425894" w:rsidP="00272FD2">
      <w:pPr>
        <w:autoSpaceDE w:val="0"/>
        <w:autoSpaceDN w:val="0"/>
        <w:adjustRightInd w:val="0"/>
        <w:spacing w:after="0" w:line="240" w:lineRule="auto"/>
        <w:rPr>
          <w:rFonts w:ascii="Times New Roman" w:hAnsi="Times New Roman" w:cs="Times New Roman"/>
          <w:sz w:val="24"/>
          <w:szCs w:val="24"/>
        </w:rPr>
      </w:pPr>
      <w:r w:rsidRPr="00773152">
        <w:rPr>
          <w:rFonts w:ascii="Times New Roman" w:hAnsi="Times New Roman" w:cs="Times New Roman"/>
          <w:b/>
          <w:sz w:val="24"/>
          <w:szCs w:val="24"/>
        </w:rPr>
        <w:t>Changes</w:t>
      </w:r>
      <w:r w:rsidRPr="00773152">
        <w:rPr>
          <w:rFonts w:ascii="Times New Roman" w:hAnsi="Times New Roman" w:cs="Times New Roman"/>
          <w:sz w:val="24"/>
          <w:szCs w:val="24"/>
        </w:rPr>
        <w:t xml:space="preserve">:  </w:t>
      </w:r>
      <w:r w:rsidR="00E8599D">
        <w:rPr>
          <w:rFonts w:ascii="Times New Roman" w:hAnsi="Times New Roman" w:cs="Times New Roman"/>
          <w:sz w:val="24"/>
          <w:szCs w:val="24"/>
        </w:rPr>
        <w:t xml:space="preserve">We </w:t>
      </w:r>
      <w:r w:rsidR="001C6FED">
        <w:rPr>
          <w:rFonts w:ascii="Times New Roman" w:hAnsi="Times New Roman" w:cs="Times New Roman"/>
          <w:sz w:val="24"/>
          <w:szCs w:val="24"/>
        </w:rPr>
        <w:t>are removing</w:t>
      </w:r>
      <w:r w:rsidR="00E8599D">
        <w:rPr>
          <w:rFonts w:ascii="Times New Roman" w:hAnsi="Times New Roman" w:cs="Times New Roman"/>
          <w:sz w:val="24"/>
          <w:szCs w:val="24"/>
        </w:rPr>
        <w:t xml:space="preserve"> questions </w:t>
      </w:r>
      <w:r w:rsidR="00E8599D" w:rsidRPr="00E8599D">
        <w:rPr>
          <w:rFonts w:ascii="Times New Roman" w:hAnsi="Times New Roman" w:cs="Times New Roman"/>
          <w:sz w:val="24"/>
          <w:szCs w:val="24"/>
        </w:rPr>
        <w:t>2, 3, 4 and 5.a.v-vii</w:t>
      </w:r>
      <w:r w:rsidR="00E8599D" w:rsidRPr="00456D7E">
        <w:rPr>
          <w:rFonts w:ascii="Times New Roman" w:hAnsi="Times New Roman" w:cs="Times New Roman"/>
          <w:sz w:val="24"/>
          <w:szCs w:val="24"/>
        </w:rPr>
        <w:t>.</w:t>
      </w:r>
      <w:r w:rsidR="00A67E13" w:rsidRPr="00507ADF">
        <w:rPr>
          <w:rFonts w:ascii="Times New Roman" w:hAnsi="Times New Roman" w:cs="Times New Roman"/>
          <w:sz w:val="24"/>
          <w:szCs w:val="24"/>
        </w:rPr>
        <w:t xml:space="preserve">  </w:t>
      </w:r>
    </w:p>
    <w:p w14:paraId="69B95598" w14:textId="77777777" w:rsidR="00FF1A85" w:rsidRPr="008D43B6" w:rsidRDefault="00FF1A85" w:rsidP="00272FD2">
      <w:pPr>
        <w:autoSpaceDE w:val="0"/>
        <w:autoSpaceDN w:val="0"/>
        <w:adjustRightInd w:val="0"/>
        <w:spacing w:after="0" w:line="240" w:lineRule="auto"/>
        <w:rPr>
          <w:rFonts w:ascii="Times New Roman" w:hAnsi="Times New Roman" w:cs="Times New Roman"/>
          <w:sz w:val="24"/>
          <w:szCs w:val="24"/>
        </w:rPr>
      </w:pPr>
    </w:p>
    <w:p w14:paraId="4D04A924" w14:textId="34EB3B1D" w:rsidR="003715F8" w:rsidRPr="008B2282" w:rsidRDefault="003715F8" w:rsidP="003715F8">
      <w:pPr>
        <w:rPr>
          <w:rFonts w:ascii="Times New Roman" w:eastAsia="Times New Roman" w:hAnsi="Times New Roman" w:cs="Times New Roman"/>
          <w:b/>
          <w:sz w:val="24"/>
          <w:szCs w:val="24"/>
        </w:rPr>
      </w:pPr>
      <w:r w:rsidRPr="008B2282">
        <w:rPr>
          <w:rFonts w:ascii="Times New Roman" w:eastAsia="Times New Roman" w:hAnsi="Times New Roman" w:cs="Times New Roman"/>
          <w:b/>
          <w:sz w:val="24"/>
          <w:szCs w:val="24"/>
        </w:rPr>
        <w:t xml:space="preserve">Privacy Act </w:t>
      </w:r>
    </w:p>
    <w:p w14:paraId="3613539E" w14:textId="440CAA46" w:rsidR="009B3897" w:rsidRPr="008B2282" w:rsidRDefault="009B3897" w:rsidP="003715F8">
      <w:pPr>
        <w:rPr>
          <w:rFonts w:ascii="Times New Roman" w:hAnsi="Times New Roman" w:cs="Times New Roman"/>
          <w:sz w:val="24"/>
          <w:szCs w:val="24"/>
        </w:rPr>
      </w:pPr>
      <w:r w:rsidRPr="008B2282">
        <w:rPr>
          <w:rFonts w:ascii="Times New Roman" w:eastAsia="Times New Roman" w:hAnsi="Times New Roman" w:cs="Times New Roman"/>
          <w:b/>
          <w:sz w:val="24"/>
          <w:szCs w:val="24"/>
        </w:rPr>
        <w:t>Comments</w:t>
      </w:r>
      <w:r w:rsidRPr="008B2282">
        <w:rPr>
          <w:rFonts w:ascii="Times New Roman" w:eastAsia="Times New Roman" w:hAnsi="Times New Roman" w:cs="Times New Roman"/>
          <w:sz w:val="24"/>
          <w:szCs w:val="24"/>
        </w:rPr>
        <w:t xml:space="preserve">:  </w:t>
      </w:r>
      <w:bookmarkStart w:id="6" w:name="_Hlk26792248"/>
      <w:r w:rsidR="00F03D24" w:rsidRPr="008B2282">
        <w:rPr>
          <w:rFonts w:ascii="Times New Roman" w:eastAsia="Times New Roman" w:hAnsi="Times New Roman" w:cs="Times New Roman"/>
          <w:sz w:val="24"/>
          <w:szCs w:val="24"/>
        </w:rPr>
        <w:t>Some commenters asserted that</w:t>
      </w:r>
      <w:r w:rsidR="00056BB0" w:rsidRPr="008B2282">
        <w:rPr>
          <w:rFonts w:ascii="Times New Roman" w:eastAsia="Times New Roman" w:hAnsi="Times New Roman" w:cs="Times New Roman"/>
          <w:sz w:val="24"/>
          <w:szCs w:val="24"/>
        </w:rPr>
        <w:t>, i</w:t>
      </w:r>
      <w:r w:rsidR="00350C06" w:rsidRPr="008B2282">
        <w:rPr>
          <w:rFonts w:ascii="Times New Roman" w:hAnsi="Times New Roman" w:cs="Times New Roman"/>
          <w:sz w:val="24"/>
          <w:szCs w:val="24"/>
        </w:rPr>
        <w:t xml:space="preserve">f personally identifiable information (PII) is being collected, a Privacy Act statement should be included on the instrument. </w:t>
      </w:r>
      <w:bookmarkEnd w:id="6"/>
      <w:r w:rsidR="00935896" w:rsidRPr="008B2282">
        <w:rPr>
          <w:rFonts w:ascii="Times New Roman" w:hAnsi="Times New Roman" w:cs="Times New Roman"/>
          <w:sz w:val="24"/>
          <w:szCs w:val="24"/>
        </w:rPr>
        <w:t xml:space="preserve">These commenters asked the Department to </w:t>
      </w:r>
      <w:r w:rsidR="00350C06" w:rsidRPr="008B2282">
        <w:rPr>
          <w:rFonts w:ascii="Times New Roman" w:hAnsi="Times New Roman" w:cs="Times New Roman"/>
          <w:sz w:val="24"/>
          <w:szCs w:val="24"/>
        </w:rPr>
        <w:t>provide a citation for the Systems of Record Notice and the date a Privacy Impact Assessment was completed.</w:t>
      </w:r>
      <w:r w:rsidR="00306873" w:rsidRPr="008B2282">
        <w:rPr>
          <w:rFonts w:ascii="Times New Roman" w:hAnsi="Times New Roman" w:cs="Times New Roman"/>
          <w:sz w:val="24"/>
          <w:szCs w:val="24"/>
        </w:rPr>
        <w:t xml:space="preserve">  </w:t>
      </w:r>
    </w:p>
    <w:p w14:paraId="2F857A6C" w14:textId="1EAD1C2E" w:rsidR="008B678D" w:rsidRPr="00773152" w:rsidRDefault="008B678D" w:rsidP="003715F8">
      <w:pPr>
        <w:rPr>
          <w:rFonts w:ascii="Times New Roman" w:hAnsi="Times New Roman" w:cs="Times New Roman"/>
          <w:b/>
          <w:sz w:val="24"/>
          <w:szCs w:val="24"/>
        </w:rPr>
      </w:pPr>
      <w:r w:rsidRPr="008B2282">
        <w:rPr>
          <w:rFonts w:ascii="Times New Roman" w:hAnsi="Times New Roman" w:cs="Times New Roman"/>
          <w:b/>
          <w:sz w:val="24"/>
          <w:szCs w:val="24"/>
        </w:rPr>
        <w:t>Response</w:t>
      </w:r>
      <w:r w:rsidRPr="008B2282">
        <w:rPr>
          <w:rFonts w:ascii="Times New Roman" w:hAnsi="Times New Roman" w:cs="Times New Roman"/>
          <w:sz w:val="24"/>
          <w:szCs w:val="24"/>
        </w:rPr>
        <w:t>:</w:t>
      </w:r>
      <w:r w:rsidR="007B0ED3" w:rsidRPr="008B2282">
        <w:rPr>
          <w:rFonts w:ascii="Times New Roman" w:hAnsi="Times New Roman" w:cs="Times New Roman"/>
          <w:sz w:val="24"/>
          <w:szCs w:val="24"/>
        </w:rPr>
        <w:t xml:space="preserve"> The Privacy Act requires agencies “maintain[ing] a system of records” to publish notice of the existence and character of the system in the Federal Register. 5 U.S.C. § 552a(e)(4).  The Act defines a “system of record” as: “a group of any records under the control of any agency from which information is retrieved by the name of the individual or by some identifying number, symbol, or other identifying particular assigned to the individual.”  5 U.S.C. § 552a(a)(5).  The Act further defines “record” as: “any item, collection, or grouping of information about an individual that is maintained by an agency, including, but not limited to, his education, financial transactions, medical history, and criminal or employment history and that contains his name, or the identifying number, symbol, or other identifying particular assigned to the individual, such as a fingerprint or voice print or a photograph.” 5 U.S.C. § 552a(a)(4) (emphasis added).  In accordance with the purpose of 20 U.S.C. 1011f, the Department is collecting information about the financial relationship between U.S. universities and foreign sources.  Additionally, the Department will not systematically retrieve that information by use of a personal identifier.  As a result, the Department is neither collecting “records” nor “maintain[ing] a system of records” as those terms are defined in the Privacy Act</w:t>
      </w:r>
      <w:bookmarkStart w:id="7" w:name="_Hlk26793273"/>
      <w:r w:rsidR="007B0ED3" w:rsidRPr="008B2282">
        <w:rPr>
          <w:rFonts w:ascii="Times New Roman" w:hAnsi="Times New Roman" w:cs="Times New Roman"/>
          <w:sz w:val="24"/>
          <w:szCs w:val="24"/>
        </w:rPr>
        <w:t>.</w:t>
      </w:r>
      <w:r w:rsidR="005A0605" w:rsidRPr="008B2282">
        <w:rPr>
          <w:rFonts w:ascii="Times New Roman" w:hAnsi="Times New Roman" w:cs="Times New Roman"/>
          <w:sz w:val="24"/>
          <w:szCs w:val="24"/>
        </w:rPr>
        <w:t xml:space="preserve">  Furthermore, the Department </w:t>
      </w:r>
      <w:r w:rsidR="00711321" w:rsidRPr="008B2282">
        <w:rPr>
          <w:rFonts w:ascii="Times New Roman" w:hAnsi="Times New Roman" w:cs="Times New Roman"/>
          <w:sz w:val="24"/>
          <w:szCs w:val="24"/>
        </w:rPr>
        <w:t xml:space="preserve">intends to </w:t>
      </w:r>
      <w:r w:rsidR="005A0605" w:rsidRPr="008B2282">
        <w:rPr>
          <w:rFonts w:ascii="Times New Roman" w:hAnsi="Times New Roman" w:cs="Times New Roman"/>
          <w:sz w:val="24"/>
          <w:szCs w:val="24"/>
        </w:rPr>
        <w:t xml:space="preserve">comply with all privacy-related legal requirements, </w:t>
      </w:r>
      <w:r w:rsidR="00AE0397" w:rsidRPr="008B2282">
        <w:rPr>
          <w:rFonts w:ascii="Times New Roman" w:hAnsi="Times New Roman" w:cs="Times New Roman"/>
          <w:sz w:val="24"/>
          <w:szCs w:val="24"/>
        </w:rPr>
        <w:t xml:space="preserve">including those related to Privacy Impact Assessments, </w:t>
      </w:r>
      <w:r w:rsidR="005A0605" w:rsidRPr="008B2282">
        <w:rPr>
          <w:rFonts w:ascii="Times New Roman" w:hAnsi="Times New Roman" w:cs="Times New Roman"/>
          <w:sz w:val="24"/>
          <w:szCs w:val="24"/>
        </w:rPr>
        <w:t>as necessary</w:t>
      </w:r>
      <w:r w:rsidR="00AE0397" w:rsidRPr="008B2282">
        <w:rPr>
          <w:rFonts w:ascii="Times New Roman" w:hAnsi="Times New Roman" w:cs="Times New Roman"/>
          <w:sz w:val="24"/>
          <w:szCs w:val="24"/>
        </w:rPr>
        <w:t xml:space="preserve"> and appropriate</w:t>
      </w:r>
      <w:r w:rsidR="005A0605" w:rsidRPr="008B2282">
        <w:rPr>
          <w:rFonts w:ascii="Times New Roman" w:hAnsi="Times New Roman" w:cs="Times New Roman"/>
          <w:sz w:val="24"/>
          <w:szCs w:val="24"/>
        </w:rPr>
        <w:t>.</w:t>
      </w:r>
    </w:p>
    <w:bookmarkEnd w:id="7"/>
    <w:p w14:paraId="069303DA" w14:textId="16167970" w:rsidR="008B678D" w:rsidRPr="00773152" w:rsidRDefault="008B678D" w:rsidP="003715F8">
      <w:pPr>
        <w:rPr>
          <w:rFonts w:ascii="Times New Roman" w:hAnsi="Times New Roman" w:cs="Times New Roman"/>
          <w:sz w:val="24"/>
          <w:szCs w:val="24"/>
        </w:rPr>
      </w:pPr>
      <w:r w:rsidRPr="00773152">
        <w:rPr>
          <w:rFonts w:ascii="Times New Roman" w:hAnsi="Times New Roman" w:cs="Times New Roman"/>
          <w:b/>
          <w:sz w:val="24"/>
          <w:szCs w:val="24"/>
        </w:rPr>
        <w:t>Changes</w:t>
      </w:r>
      <w:r w:rsidRPr="00773152">
        <w:rPr>
          <w:rFonts w:ascii="Times New Roman" w:hAnsi="Times New Roman" w:cs="Times New Roman"/>
          <w:sz w:val="24"/>
          <w:szCs w:val="24"/>
        </w:rPr>
        <w:t>:</w:t>
      </w:r>
      <w:r w:rsidR="004130E3">
        <w:rPr>
          <w:rFonts w:ascii="Times New Roman" w:hAnsi="Times New Roman" w:cs="Times New Roman"/>
          <w:sz w:val="24"/>
          <w:szCs w:val="24"/>
        </w:rPr>
        <w:t xml:space="preserve">  None.  </w:t>
      </w:r>
    </w:p>
    <w:p w14:paraId="2C256E84" w14:textId="534F1516" w:rsidR="00A87C20" w:rsidRPr="00773152" w:rsidRDefault="0093042D" w:rsidP="00A87C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Copies</w:t>
      </w:r>
    </w:p>
    <w:p w14:paraId="04F30F37" w14:textId="711445CB" w:rsidR="001C0EC1" w:rsidRPr="00BE1258" w:rsidRDefault="001C0EC1" w:rsidP="001C0EC1">
      <w:pPr>
        <w:autoSpaceDE w:val="0"/>
        <w:autoSpaceDN w:val="0"/>
        <w:adjustRightInd w:val="0"/>
        <w:spacing w:after="0" w:line="240" w:lineRule="auto"/>
        <w:rPr>
          <w:rFonts w:ascii="Times New Roman" w:hAnsi="Times New Roman" w:cs="Times New Roman"/>
          <w:sz w:val="24"/>
          <w:szCs w:val="24"/>
        </w:rPr>
      </w:pPr>
      <w:r w:rsidRPr="00BE1258">
        <w:rPr>
          <w:rFonts w:ascii="Times New Roman" w:hAnsi="Times New Roman" w:cs="Times New Roman"/>
          <w:b/>
          <w:bCs/>
          <w:sz w:val="24"/>
          <w:szCs w:val="24"/>
        </w:rPr>
        <w:t>Comments</w:t>
      </w:r>
      <w:r w:rsidRPr="00BE1258">
        <w:rPr>
          <w:rFonts w:ascii="Times New Roman" w:hAnsi="Times New Roman" w:cs="Times New Roman"/>
          <w:sz w:val="24"/>
          <w:szCs w:val="24"/>
        </w:rPr>
        <w:t xml:space="preserve">:  Some commenters asserted that the Department does not have statutory authority to ask for true copies of gifts or contracts involving a foreign source.   These commenters also claimed that true copies would not be useful or necessary to aggregate the dollar amount of such gifts and contracts attributable to a particular country.  One commenter asserted that it is necessary for </w:t>
      </w:r>
      <w:r w:rsidR="002B107B">
        <w:rPr>
          <w:rFonts w:ascii="Times New Roman" w:hAnsi="Times New Roman" w:cs="Times New Roman"/>
          <w:sz w:val="24"/>
          <w:szCs w:val="24"/>
        </w:rPr>
        <w:t>institution</w:t>
      </w:r>
      <w:r w:rsidRPr="00BE1258">
        <w:rPr>
          <w:rFonts w:ascii="Times New Roman" w:hAnsi="Times New Roman" w:cs="Times New Roman"/>
          <w:sz w:val="24"/>
          <w:szCs w:val="24"/>
        </w:rPr>
        <w:t>s to disclose these true copies to the Department so that the Department is capable of enforcing the legal requirements in 20 U.S.C. 1011f.  Other commenters asserted that these documents contain confidential information that cannot be disclosed because</w:t>
      </w:r>
      <w:r w:rsidR="00CB4E32">
        <w:rPr>
          <w:rFonts w:ascii="Times New Roman" w:hAnsi="Times New Roman" w:cs="Times New Roman"/>
          <w:sz w:val="24"/>
          <w:szCs w:val="24"/>
        </w:rPr>
        <w:t xml:space="preserve"> </w:t>
      </w:r>
      <w:r w:rsidRPr="00BE1258">
        <w:rPr>
          <w:rFonts w:ascii="Times New Roman" w:hAnsi="Times New Roman" w:cs="Times New Roman"/>
          <w:sz w:val="24"/>
          <w:szCs w:val="24"/>
        </w:rPr>
        <w:t>disclosure is prohibited by the terms of the contract and, in some instances, state laws</w:t>
      </w:r>
      <w:r w:rsidR="00BD3A94">
        <w:rPr>
          <w:rFonts w:ascii="Times New Roman" w:hAnsi="Times New Roman" w:cs="Times New Roman"/>
          <w:sz w:val="24"/>
          <w:szCs w:val="24"/>
        </w:rPr>
        <w:t xml:space="preserve">.  </w:t>
      </w:r>
      <w:r w:rsidRPr="00BE1258">
        <w:rPr>
          <w:rFonts w:ascii="Times New Roman" w:hAnsi="Times New Roman" w:cs="Times New Roman"/>
          <w:sz w:val="24"/>
          <w:szCs w:val="24"/>
        </w:rPr>
        <w:t xml:space="preserve">Other commenters requested the Department clarify whether </w:t>
      </w:r>
      <w:r w:rsidR="002B107B">
        <w:rPr>
          <w:rFonts w:ascii="Times New Roman" w:hAnsi="Times New Roman" w:cs="Times New Roman"/>
          <w:sz w:val="24"/>
          <w:szCs w:val="24"/>
        </w:rPr>
        <w:t>institution</w:t>
      </w:r>
      <w:r w:rsidRPr="00BE1258">
        <w:rPr>
          <w:rFonts w:ascii="Times New Roman" w:hAnsi="Times New Roman" w:cs="Times New Roman"/>
          <w:sz w:val="24"/>
          <w:szCs w:val="24"/>
        </w:rPr>
        <w:t xml:space="preserve">s can redact confidential information prior to submitting a true copy and whether the Department would withhold any confidential information within these true copies as exempt from a Freedom of Information Act (FOIA) request.  Similarly, commenters noted that the Department did not include any mechanism for protecting the confidentiality of this information in response to question 7 of the supporting statement.    </w:t>
      </w:r>
    </w:p>
    <w:p w14:paraId="7B9B6534" w14:textId="77777777" w:rsidR="001C0EC1" w:rsidRPr="00BE1258" w:rsidRDefault="001C0EC1" w:rsidP="001C0EC1">
      <w:pPr>
        <w:autoSpaceDE w:val="0"/>
        <w:autoSpaceDN w:val="0"/>
        <w:adjustRightInd w:val="0"/>
        <w:spacing w:after="0" w:line="240" w:lineRule="auto"/>
        <w:rPr>
          <w:rFonts w:ascii="Times New Roman" w:hAnsi="Times New Roman" w:cs="Times New Roman"/>
          <w:sz w:val="24"/>
          <w:szCs w:val="24"/>
        </w:rPr>
      </w:pPr>
      <w:r w:rsidRPr="00BE1258">
        <w:rPr>
          <w:rFonts w:ascii="Times New Roman" w:hAnsi="Times New Roman" w:cs="Times New Roman"/>
          <w:sz w:val="24"/>
          <w:szCs w:val="24"/>
        </w:rPr>
        <w:t xml:space="preserve">       </w:t>
      </w:r>
    </w:p>
    <w:p w14:paraId="13866CE3" w14:textId="724B5E79" w:rsidR="001C0EC1" w:rsidRPr="00BE1258" w:rsidRDefault="001C0EC1" w:rsidP="0093567B">
      <w:pPr>
        <w:spacing w:line="240" w:lineRule="auto"/>
        <w:rPr>
          <w:rFonts w:ascii="Times New Roman" w:eastAsia="Times New Roman" w:hAnsi="Times New Roman" w:cs="Times New Roman"/>
          <w:sz w:val="24"/>
          <w:szCs w:val="24"/>
        </w:rPr>
      </w:pPr>
      <w:r w:rsidRPr="00BE1258">
        <w:rPr>
          <w:rFonts w:ascii="Times New Roman" w:hAnsi="Times New Roman" w:cs="Times New Roman"/>
          <w:b/>
          <w:bCs/>
          <w:sz w:val="24"/>
          <w:szCs w:val="24"/>
        </w:rPr>
        <w:t>Response</w:t>
      </w:r>
      <w:r w:rsidRPr="00BE1258">
        <w:rPr>
          <w:rFonts w:ascii="Times New Roman" w:hAnsi="Times New Roman" w:cs="Times New Roman"/>
          <w:sz w:val="24"/>
          <w:szCs w:val="24"/>
        </w:rPr>
        <w:t xml:space="preserve">:  The Department believes that it is consistent with the statute and necessary for </w:t>
      </w:r>
      <w:r w:rsidR="002B107B">
        <w:rPr>
          <w:rFonts w:ascii="Times New Roman" w:hAnsi="Times New Roman" w:cs="Times New Roman"/>
          <w:sz w:val="24"/>
          <w:szCs w:val="24"/>
        </w:rPr>
        <w:t>institution</w:t>
      </w:r>
      <w:r w:rsidRPr="00BE1258">
        <w:rPr>
          <w:rFonts w:ascii="Times New Roman" w:hAnsi="Times New Roman" w:cs="Times New Roman"/>
          <w:sz w:val="24"/>
          <w:szCs w:val="24"/>
        </w:rPr>
        <w:t xml:space="preserve">s to submit true copies of gifts or contracts involving a foreign source for the Department to </w:t>
      </w:r>
      <w:r w:rsidR="00637F30">
        <w:rPr>
          <w:rFonts w:ascii="Times New Roman" w:hAnsi="Times New Roman" w:cs="Times New Roman"/>
          <w:sz w:val="24"/>
          <w:szCs w:val="24"/>
        </w:rPr>
        <w:t>be able to determine whether it appears an institution has failed to comply with</w:t>
      </w:r>
      <w:r w:rsidRPr="00BE1258">
        <w:rPr>
          <w:rFonts w:ascii="Times New Roman" w:hAnsi="Times New Roman" w:cs="Times New Roman"/>
          <w:sz w:val="24"/>
          <w:szCs w:val="24"/>
        </w:rPr>
        <w:t xml:space="preserve"> 20 U.S.C. 1011f</w:t>
      </w:r>
      <w:r w:rsidR="00DD42CC">
        <w:rPr>
          <w:rFonts w:ascii="Times New Roman" w:hAnsi="Times New Roman" w:cs="Times New Roman"/>
          <w:sz w:val="24"/>
          <w:szCs w:val="24"/>
        </w:rPr>
        <w:t xml:space="preserve"> (f)</w:t>
      </w:r>
      <w:r w:rsidRPr="00BE1258">
        <w:rPr>
          <w:rFonts w:ascii="Times New Roman" w:hAnsi="Times New Roman" w:cs="Times New Roman"/>
          <w:sz w:val="24"/>
          <w:szCs w:val="24"/>
        </w:rPr>
        <w:t>.</w:t>
      </w:r>
      <w:r w:rsidR="00B60E26">
        <w:rPr>
          <w:rFonts w:ascii="Times New Roman" w:hAnsi="Times New Roman" w:cs="Times New Roman"/>
          <w:sz w:val="24"/>
          <w:szCs w:val="24"/>
        </w:rPr>
        <w:t xml:space="preserve">  For th</w:t>
      </w:r>
      <w:r w:rsidR="006C4FE4">
        <w:rPr>
          <w:rFonts w:ascii="Times New Roman" w:hAnsi="Times New Roman" w:cs="Times New Roman"/>
          <w:sz w:val="24"/>
          <w:szCs w:val="24"/>
        </w:rPr>
        <w:t>ese</w:t>
      </w:r>
      <w:r w:rsidR="00B60E26">
        <w:rPr>
          <w:rFonts w:ascii="Times New Roman" w:hAnsi="Times New Roman" w:cs="Times New Roman"/>
          <w:sz w:val="24"/>
          <w:szCs w:val="24"/>
        </w:rPr>
        <w:t xml:space="preserve"> reasons, an </w:t>
      </w:r>
      <w:r w:rsidR="002B107B">
        <w:rPr>
          <w:rFonts w:ascii="Times New Roman" w:hAnsi="Times New Roman" w:cs="Times New Roman"/>
          <w:sz w:val="24"/>
          <w:szCs w:val="24"/>
        </w:rPr>
        <w:t>institution</w:t>
      </w:r>
      <w:r w:rsidR="00B60E26">
        <w:rPr>
          <w:rFonts w:ascii="Times New Roman" w:hAnsi="Times New Roman" w:cs="Times New Roman"/>
          <w:sz w:val="24"/>
          <w:szCs w:val="24"/>
        </w:rPr>
        <w:t xml:space="preserve"> cannot redact a true copy before </w:t>
      </w:r>
      <w:r w:rsidR="00B446D2">
        <w:rPr>
          <w:rFonts w:ascii="Times New Roman" w:hAnsi="Times New Roman" w:cs="Times New Roman"/>
          <w:sz w:val="24"/>
          <w:szCs w:val="24"/>
        </w:rPr>
        <w:t xml:space="preserve">submitting </w:t>
      </w:r>
      <w:r w:rsidR="00B60E26">
        <w:rPr>
          <w:rFonts w:ascii="Times New Roman" w:hAnsi="Times New Roman" w:cs="Times New Roman"/>
          <w:sz w:val="24"/>
          <w:szCs w:val="24"/>
        </w:rPr>
        <w:t>it.</w:t>
      </w:r>
      <w:r w:rsidRPr="00BE1258">
        <w:rPr>
          <w:rFonts w:ascii="Times New Roman" w:hAnsi="Times New Roman" w:cs="Times New Roman"/>
          <w:sz w:val="24"/>
          <w:szCs w:val="24"/>
        </w:rPr>
        <w:t xml:space="preserve">  However, in response to concerns raised by commenters, </w:t>
      </w:r>
      <w:bookmarkStart w:id="8" w:name="_Hlk26275623"/>
      <w:r w:rsidRPr="00BE1258">
        <w:rPr>
          <w:rFonts w:ascii="Times New Roman" w:hAnsi="Times New Roman" w:cs="Times New Roman"/>
          <w:sz w:val="24"/>
          <w:szCs w:val="24"/>
        </w:rPr>
        <w:t xml:space="preserve">the Department will not make </w:t>
      </w:r>
      <w:r w:rsidR="006C4FE4">
        <w:rPr>
          <w:rFonts w:ascii="Times New Roman" w:hAnsi="Times New Roman" w:cs="Times New Roman"/>
          <w:sz w:val="24"/>
          <w:szCs w:val="24"/>
        </w:rPr>
        <w:t>the true copies</w:t>
      </w:r>
      <w:r w:rsidRPr="00BE1258">
        <w:rPr>
          <w:rFonts w:ascii="Times New Roman" w:hAnsi="Times New Roman" w:cs="Times New Roman"/>
          <w:sz w:val="24"/>
          <w:szCs w:val="24"/>
        </w:rPr>
        <w:t xml:space="preserve"> publicly available</w:t>
      </w:r>
      <w:r w:rsidR="00565F71" w:rsidRPr="00472927">
        <w:rPr>
          <w:rFonts w:ascii="Times New Roman" w:hAnsi="Times New Roman" w:cs="Times New Roman"/>
          <w:sz w:val="24"/>
          <w:szCs w:val="24"/>
        </w:rPr>
        <w:t xml:space="preserve">, </w:t>
      </w:r>
      <w:r w:rsidR="00565F71" w:rsidRPr="008B2282">
        <w:rPr>
          <w:rFonts w:ascii="Times New Roman" w:hAnsi="Times New Roman" w:cs="Times New Roman"/>
          <w:sz w:val="24"/>
          <w:szCs w:val="24"/>
        </w:rPr>
        <w:t>to the extent permitted by law</w:t>
      </w:r>
      <w:r w:rsidRPr="00472927">
        <w:rPr>
          <w:rFonts w:ascii="Times New Roman" w:hAnsi="Times New Roman" w:cs="Times New Roman"/>
          <w:sz w:val="24"/>
          <w:szCs w:val="24"/>
        </w:rPr>
        <w:t>.</w:t>
      </w:r>
      <w:r w:rsidRPr="00BE1258">
        <w:rPr>
          <w:rFonts w:ascii="Times New Roman" w:hAnsi="Times New Roman" w:cs="Times New Roman"/>
          <w:sz w:val="24"/>
          <w:szCs w:val="24"/>
        </w:rPr>
        <w:t xml:space="preserve">  </w:t>
      </w:r>
      <w:r w:rsidR="006C4FE4">
        <w:rPr>
          <w:rFonts w:ascii="Times New Roman" w:hAnsi="Times New Roman" w:cs="Times New Roman"/>
          <w:sz w:val="24"/>
          <w:szCs w:val="24"/>
        </w:rPr>
        <w:t xml:space="preserve">With regard to the </w:t>
      </w:r>
      <w:r w:rsidR="00AE0397">
        <w:rPr>
          <w:rFonts w:ascii="Times New Roman" w:hAnsi="Times New Roman" w:cs="Times New Roman"/>
          <w:sz w:val="24"/>
          <w:szCs w:val="24"/>
        </w:rPr>
        <w:t>comment</w:t>
      </w:r>
      <w:r w:rsidR="006C4FE4">
        <w:rPr>
          <w:rFonts w:ascii="Times New Roman" w:hAnsi="Times New Roman" w:cs="Times New Roman"/>
          <w:sz w:val="24"/>
          <w:szCs w:val="24"/>
        </w:rPr>
        <w:t xml:space="preserve"> on FOIA</w:t>
      </w:r>
      <w:r w:rsidRPr="00BE1258">
        <w:rPr>
          <w:rFonts w:ascii="Times New Roman" w:hAnsi="Times New Roman" w:cs="Times New Roman"/>
          <w:sz w:val="24"/>
          <w:szCs w:val="24"/>
        </w:rPr>
        <w:t xml:space="preserve">, the Department will </w:t>
      </w:r>
      <w:r w:rsidR="00BF2283">
        <w:rPr>
          <w:rFonts w:ascii="Times New Roman" w:hAnsi="Times New Roman" w:cs="Times New Roman"/>
          <w:sz w:val="24"/>
          <w:szCs w:val="24"/>
        </w:rPr>
        <w:t xml:space="preserve">treat these true copies as </w:t>
      </w:r>
      <w:r w:rsidR="00BF2283" w:rsidRPr="00773152">
        <w:rPr>
          <w:rFonts w:ascii="Times New Roman" w:hAnsi="Times New Roman" w:cs="Times New Roman"/>
          <w:sz w:val="24"/>
          <w:szCs w:val="24"/>
        </w:rPr>
        <w:t>“business information” under 34 C.F.R. § 5.11</w:t>
      </w:r>
      <w:r w:rsidR="00B446D2">
        <w:rPr>
          <w:rFonts w:ascii="Times New Roman" w:hAnsi="Times New Roman" w:cs="Times New Roman"/>
          <w:sz w:val="24"/>
          <w:szCs w:val="24"/>
        </w:rPr>
        <w:t>(b)(1</w:t>
      </w:r>
      <w:r w:rsidR="007E57C5">
        <w:rPr>
          <w:rFonts w:ascii="Times New Roman" w:hAnsi="Times New Roman" w:cs="Times New Roman"/>
          <w:sz w:val="24"/>
          <w:szCs w:val="24"/>
        </w:rPr>
        <w:t>) and</w:t>
      </w:r>
      <w:r w:rsidR="00BF2283" w:rsidRPr="00773152">
        <w:rPr>
          <w:rFonts w:ascii="Times New Roman" w:hAnsi="Times New Roman" w:cs="Times New Roman"/>
          <w:sz w:val="24"/>
          <w:szCs w:val="24"/>
        </w:rPr>
        <w:t xml:space="preserve"> </w:t>
      </w:r>
      <w:r w:rsidR="00B446D2">
        <w:rPr>
          <w:rFonts w:ascii="Times New Roman" w:hAnsi="Times New Roman" w:cs="Times New Roman"/>
          <w:sz w:val="24"/>
          <w:szCs w:val="24"/>
        </w:rPr>
        <w:t>follow the procedures described therein</w:t>
      </w:r>
      <w:r w:rsidR="007E57C5">
        <w:rPr>
          <w:rFonts w:ascii="Times New Roman" w:hAnsi="Times New Roman" w:cs="Times New Roman"/>
          <w:sz w:val="24"/>
          <w:szCs w:val="24"/>
        </w:rPr>
        <w:t xml:space="preserve"> (s</w:t>
      </w:r>
      <w:r w:rsidR="00B446D2">
        <w:rPr>
          <w:rFonts w:ascii="Times New Roman" w:hAnsi="Times New Roman" w:cs="Times New Roman"/>
          <w:sz w:val="24"/>
          <w:szCs w:val="24"/>
        </w:rPr>
        <w:t xml:space="preserve">ee </w:t>
      </w:r>
      <w:r w:rsidR="00B446D2" w:rsidRPr="00773152">
        <w:rPr>
          <w:rFonts w:ascii="Times New Roman" w:hAnsi="Times New Roman" w:cs="Times New Roman"/>
          <w:sz w:val="24"/>
          <w:szCs w:val="24"/>
        </w:rPr>
        <w:t>34 C.F.R. § 5.11</w:t>
      </w:r>
      <w:r w:rsidR="00B446D2">
        <w:rPr>
          <w:rFonts w:ascii="Times New Roman" w:hAnsi="Times New Roman" w:cs="Times New Roman"/>
          <w:sz w:val="24"/>
          <w:szCs w:val="24"/>
        </w:rPr>
        <w:t>(d)-(j)</w:t>
      </w:r>
      <w:r w:rsidR="007E57C5">
        <w:rPr>
          <w:rFonts w:ascii="Times New Roman" w:hAnsi="Times New Roman" w:cs="Times New Roman"/>
          <w:sz w:val="24"/>
          <w:szCs w:val="24"/>
        </w:rPr>
        <w:t>), including redacting</w:t>
      </w:r>
      <w:r w:rsidR="00BB72B2">
        <w:rPr>
          <w:rFonts w:ascii="Times New Roman" w:hAnsi="Times New Roman" w:cs="Times New Roman"/>
          <w:sz w:val="24"/>
          <w:szCs w:val="24"/>
        </w:rPr>
        <w:t>,</w:t>
      </w:r>
      <w:r w:rsidR="007E57C5">
        <w:rPr>
          <w:rFonts w:ascii="Times New Roman" w:hAnsi="Times New Roman" w:cs="Times New Roman"/>
          <w:sz w:val="24"/>
          <w:szCs w:val="24"/>
        </w:rPr>
        <w:t xml:space="preserve"> as appropriate</w:t>
      </w:r>
      <w:r w:rsidR="00AE0397">
        <w:rPr>
          <w:rFonts w:ascii="Times New Roman" w:hAnsi="Times New Roman" w:cs="Times New Roman"/>
          <w:sz w:val="24"/>
          <w:szCs w:val="24"/>
        </w:rPr>
        <w:t xml:space="preserve">.  </w:t>
      </w:r>
      <w:bookmarkEnd w:id="8"/>
      <w:r w:rsidRPr="00BE1258">
        <w:rPr>
          <w:rFonts w:ascii="Times New Roman" w:hAnsi="Times New Roman" w:cs="Times New Roman"/>
          <w:sz w:val="24"/>
          <w:szCs w:val="24"/>
        </w:rPr>
        <w:t xml:space="preserve">As for any contractual provisions or state laws that would prohibit an </w:t>
      </w:r>
      <w:r w:rsidR="002B107B">
        <w:rPr>
          <w:rFonts w:ascii="Times New Roman" w:hAnsi="Times New Roman" w:cs="Times New Roman"/>
          <w:sz w:val="24"/>
          <w:szCs w:val="24"/>
        </w:rPr>
        <w:t>institution</w:t>
      </w:r>
      <w:r w:rsidRPr="00BE1258">
        <w:rPr>
          <w:rFonts w:ascii="Times New Roman" w:hAnsi="Times New Roman" w:cs="Times New Roman"/>
          <w:sz w:val="24"/>
          <w:szCs w:val="24"/>
        </w:rPr>
        <w:t xml:space="preserve"> from disclosing a true copy to the Department, such provisions are </w:t>
      </w:r>
      <w:r w:rsidRPr="00BE1258">
        <w:rPr>
          <w:rFonts w:ascii="Times New Roman" w:hAnsi="Times New Roman" w:cs="Times New Roman"/>
          <w:i/>
          <w:iCs/>
          <w:sz w:val="24"/>
          <w:szCs w:val="24"/>
        </w:rPr>
        <w:t>ultra vires</w:t>
      </w:r>
      <w:r w:rsidRPr="00BE1258">
        <w:rPr>
          <w:rFonts w:ascii="Times New Roman" w:hAnsi="Times New Roman" w:cs="Times New Roman"/>
          <w:sz w:val="24"/>
          <w:szCs w:val="24"/>
        </w:rPr>
        <w:t xml:space="preserve"> given the statutory disclosure requirements under 20 U.S.C. 1011f.     </w:t>
      </w:r>
    </w:p>
    <w:p w14:paraId="270BF0A5" w14:textId="2FFBE5AC" w:rsidR="001C0EC1" w:rsidRPr="00BE1258" w:rsidRDefault="001C0EC1" w:rsidP="001C0EC1">
      <w:pPr>
        <w:rPr>
          <w:rFonts w:ascii="Times New Roman" w:eastAsia="Times New Roman" w:hAnsi="Times New Roman" w:cs="Times New Roman"/>
          <w:sz w:val="24"/>
          <w:szCs w:val="24"/>
        </w:rPr>
      </w:pPr>
      <w:r w:rsidRPr="00BE1258">
        <w:rPr>
          <w:rFonts w:ascii="Times New Roman" w:eastAsia="Times New Roman" w:hAnsi="Times New Roman" w:cs="Times New Roman"/>
          <w:b/>
          <w:bCs/>
          <w:sz w:val="24"/>
          <w:szCs w:val="24"/>
        </w:rPr>
        <w:t>Changes</w:t>
      </w:r>
      <w:r w:rsidRPr="00BE1258">
        <w:rPr>
          <w:rFonts w:ascii="Times New Roman" w:eastAsia="Times New Roman" w:hAnsi="Times New Roman" w:cs="Times New Roman"/>
          <w:sz w:val="24"/>
          <w:szCs w:val="24"/>
        </w:rPr>
        <w:t xml:space="preserve">:  </w:t>
      </w:r>
      <w:r w:rsidR="00BB72B2">
        <w:rPr>
          <w:rFonts w:ascii="Times New Roman" w:eastAsia="Times New Roman" w:hAnsi="Times New Roman" w:cs="Times New Roman"/>
          <w:sz w:val="24"/>
          <w:szCs w:val="24"/>
        </w:rPr>
        <w:t>None</w:t>
      </w:r>
      <w:r w:rsidRPr="00BE1258">
        <w:rPr>
          <w:rFonts w:ascii="Times New Roman" w:eastAsia="Times New Roman" w:hAnsi="Times New Roman" w:cs="Times New Roman"/>
          <w:sz w:val="24"/>
          <w:szCs w:val="24"/>
        </w:rPr>
        <w:t>.</w:t>
      </w:r>
    </w:p>
    <w:p w14:paraId="758DEE38" w14:textId="2CD1509A" w:rsidR="00D46900" w:rsidRDefault="00D46900" w:rsidP="00D46900">
      <w:pPr>
        <w:autoSpaceDE w:val="0"/>
        <w:autoSpaceDN w:val="0"/>
        <w:adjustRightInd w:val="0"/>
        <w:spacing w:after="0" w:line="240" w:lineRule="auto"/>
        <w:rPr>
          <w:rFonts w:ascii="Times New Roman" w:hAnsi="Times New Roman" w:cs="Times New Roman"/>
          <w:sz w:val="24"/>
          <w:szCs w:val="24"/>
        </w:rPr>
      </w:pPr>
      <w:r w:rsidRPr="00BE1258">
        <w:rPr>
          <w:rFonts w:ascii="Times New Roman" w:hAnsi="Times New Roman" w:cs="Times New Roman"/>
          <w:b/>
          <w:bCs/>
          <w:sz w:val="24"/>
          <w:szCs w:val="24"/>
        </w:rPr>
        <w:t>Comment</w:t>
      </w:r>
      <w:r w:rsidR="00264BF3">
        <w:rPr>
          <w:rFonts w:ascii="Times New Roman" w:hAnsi="Times New Roman" w:cs="Times New Roman"/>
          <w:b/>
          <w:bCs/>
          <w:sz w:val="24"/>
          <w:szCs w:val="24"/>
        </w:rPr>
        <w:t>s</w:t>
      </w:r>
      <w:r w:rsidRPr="00BE1258">
        <w:rPr>
          <w:rFonts w:ascii="Times New Roman" w:hAnsi="Times New Roman" w:cs="Times New Roman"/>
          <w:sz w:val="24"/>
          <w:szCs w:val="24"/>
        </w:rPr>
        <w:t xml:space="preserve">:  One commenter asked whether and under what circumstances an </w:t>
      </w:r>
      <w:r w:rsidR="002B107B">
        <w:rPr>
          <w:rFonts w:ascii="Times New Roman" w:hAnsi="Times New Roman" w:cs="Times New Roman"/>
          <w:sz w:val="24"/>
          <w:szCs w:val="24"/>
        </w:rPr>
        <w:t>institution</w:t>
      </w:r>
      <w:r w:rsidRPr="00BE1258">
        <w:rPr>
          <w:rFonts w:ascii="Times New Roman" w:hAnsi="Times New Roman" w:cs="Times New Roman"/>
          <w:sz w:val="24"/>
          <w:szCs w:val="24"/>
        </w:rPr>
        <w:t xml:space="preserve"> would be required to make a new disclosure of a true copy of a contract as a result of a contractual amendment.  </w:t>
      </w:r>
    </w:p>
    <w:p w14:paraId="5DC08C84" w14:textId="77777777" w:rsidR="004C1436" w:rsidRPr="00BE1258" w:rsidRDefault="004C1436" w:rsidP="00D46900">
      <w:pPr>
        <w:autoSpaceDE w:val="0"/>
        <w:autoSpaceDN w:val="0"/>
        <w:adjustRightInd w:val="0"/>
        <w:spacing w:after="0" w:line="240" w:lineRule="auto"/>
        <w:rPr>
          <w:rFonts w:ascii="Times New Roman" w:hAnsi="Times New Roman" w:cs="Times New Roman"/>
          <w:sz w:val="24"/>
          <w:szCs w:val="24"/>
        </w:rPr>
      </w:pPr>
    </w:p>
    <w:p w14:paraId="4640FA78" w14:textId="507C9258" w:rsidR="00D46900" w:rsidRDefault="00D46900" w:rsidP="00D46900">
      <w:pPr>
        <w:rPr>
          <w:rFonts w:ascii="Times New Roman" w:hAnsi="Times New Roman" w:cs="Times New Roman"/>
          <w:sz w:val="24"/>
          <w:szCs w:val="24"/>
        </w:rPr>
      </w:pPr>
      <w:r w:rsidRPr="00BE1258">
        <w:rPr>
          <w:rFonts w:ascii="Times New Roman" w:hAnsi="Times New Roman" w:cs="Times New Roman"/>
          <w:b/>
          <w:bCs/>
          <w:sz w:val="24"/>
          <w:szCs w:val="24"/>
        </w:rPr>
        <w:t xml:space="preserve">Response:  </w:t>
      </w:r>
      <w:r w:rsidRPr="00BE1258">
        <w:rPr>
          <w:rFonts w:ascii="Times New Roman" w:hAnsi="Times New Roman" w:cs="Times New Roman"/>
          <w:sz w:val="24"/>
          <w:szCs w:val="24"/>
        </w:rPr>
        <w:t xml:space="preserve">The Department expects </w:t>
      </w:r>
      <w:r w:rsidR="002B107B">
        <w:rPr>
          <w:rFonts w:ascii="Times New Roman" w:hAnsi="Times New Roman" w:cs="Times New Roman"/>
          <w:sz w:val="24"/>
          <w:szCs w:val="24"/>
        </w:rPr>
        <w:t>institution</w:t>
      </w:r>
      <w:r w:rsidRPr="00BE1258">
        <w:rPr>
          <w:rFonts w:ascii="Times New Roman" w:hAnsi="Times New Roman" w:cs="Times New Roman"/>
          <w:sz w:val="24"/>
          <w:szCs w:val="24"/>
        </w:rPr>
        <w:t>s will submit a new true copy of an amended contract only whe</w:t>
      </w:r>
      <w:r w:rsidR="007E57C5">
        <w:rPr>
          <w:rFonts w:ascii="Times New Roman" w:hAnsi="Times New Roman" w:cs="Times New Roman"/>
          <w:sz w:val="24"/>
          <w:szCs w:val="24"/>
        </w:rPr>
        <w:t>n</w:t>
      </w:r>
      <w:r w:rsidRPr="00BE1258">
        <w:rPr>
          <w:rFonts w:ascii="Times New Roman" w:hAnsi="Times New Roman" w:cs="Times New Roman"/>
          <w:sz w:val="24"/>
          <w:szCs w:val="24"/>
        </w:rPr>
        <w:t xml:space="preserve"> an amendment substantively changes the terms of the contract and not when an amendment is technical in nature.  </w:t>
      </w:r>
    </w:p>
    <w:p w14:paraId="67BA99FE" w14:textId="0F672146" w:rsidR="00A67E13" w:rsidRPr="00773152" w:rsidRDefault="00A67E13" w:rsidP="0069033A">
      <w:pPr>
        <w:rPr>
          <w:rFonts w:ascii="Times New Roman" w:eastAsia="Times New Roman" w:hAnsi="Times New Roman" w:cs="Times New Roman"/>
          <w:sz w:val="24"/>
          <w:szCs w:val="24"/>
        </w:rPr>
      </w:pPr>
      <w:r w:rsidRPr="00773152">
        <w:rPr>
          <w:rFonts w:ascii="Times New Roman" w:eastAsia="Times New Roman" w:hAnsi="Times New Roman" w:cs="Times New Roman"/>
          <w:b/>
          <w:sz w:val="24"/>
          <w:szCs w:val="24"/>
        </w:rPr>
        <w:t>Changes</w:t>
      </w:r>
      <w:r w:rsidRPr="00773152">
        <w:rPr>
          <w:rFonts w:ascii="Times New Roman" w:eastAsia="Times New Roman" w:hAnsi="Times New Roman" w:cs="Times New Roman"/>
          <w:sz w:val="24"/>
          <w:szCs w:val="24"/>
        </w:rPr>
        <w:t xml:space="preserve">:    </w:t>
      </w:r>
      <w:r w:rsidR="00C81A21">
        <w:rPr>
          <w:rFonts w:ascii="Times New Roman" w:eastAsia="Times New Roman" w:hAnsi="Times New Roman" w:cs="Times New Roman"/>
          <w:sz w:val="24"/>
          <w:szCs w:val="24"/>
        </w:rPr>
        <w:t>None.</w:t>
      </w:r>
    </w:p>
    <w:p w14:paraId="3DC05F89" w14:textId="60DD3B8F" w:rsidR="0069033A" w:rsidRPr="00773152" w:rsidRDefault="00AB7E94" w:rsidP="006903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w:t>
      </w:r>
      <w:r w:rsidR="0069033A" w:rsidRPr="00773152">
        <w:rPr>
          <w:rFonts w:ascii="Times New Roman" w:eastAsia="Times New Roman" w:hAnsi="Times New Roman" w:cs="Times New Roman"/>
          <w:b/>
          <w:sz w:val="24"/>
          <w:szCs w:val="24"/>
        </w:rPr>
        <w:t xml:space="preserve"> $250,000 threshold </w:t>
      </w:r>
    </w:p>
    <w:p w14:paraId="1BAD3A93" w14:textId="09B60F59" w:rsidR="00241FCA" w:rsidRPr="00773152" w:rsidRDefault="00241FCA" w:rsidP="00241FCA">
      <w:pPr>
        <w:autoSpaceDE w:val="0"/>
        <w:autoSpaceDN w:val="0"/>
        <w:adjustRightInd w:val="0"/>
        <w:spacing w:after="0" w:line="240" w:lineRule="auto"/>
        <w:rPr>
          <w:rFonts w:ascii="Times New Roman" w:hAnsi="Times New Roman" w:cs="Times New Roman"/>
          <w:sz w:val="24"/>
          <w:szCs w:val="24"/>
        </w:rPr>
      </w:pPr>
      <w:r w:rsidRPr="00773152">
        <w:rPr>
          <w:rFonts w:ascii="Times New Roman" w:eastAsia="Times New Roman" w:hAnsi="Times New Roman" w:cs="Times New Roman"/>
          <w:b/>
          <w:sz w:val="24"/>
          <w:szCs w:val="24"/>
        </w:rPr>
        <w:t>Comment</w:t>
      </w:r>
      <w:r w:rsidR="00264BF3" w:rsidRPr="00773152">
        <w:rPr>
          <w:rFonts w:ascii="Times New Roman" w:eastAsia="Times New Roman" w:hAnsi="Times New Roman" w:cs="Times New Roman"/>
          <w:b/>
          <w:sz w:val="24"/>
          <w:szCs w:val="24"/>
        </w:rPr>
        <w:t>s</w:t>
      </w:r>
      <w:r w:rsidRPr="00773152">
        <w:rPr>
          <w:rFonts w:ascii="Times New Roman" w:eastAsia="Times New Roman" w:hAnsi="Times New Roman" w:cs="Times New Roman"/>
          <w:sz w:val="24"/>
          <w:szCs w:val="24"/>
        </w:rPr>
        <w:t xml:space="preserve">:  Some commenters </w:t>
      </w:r>
      <w:r w:rsidR="00362D56" w:rsidRPr="00773152">
        <w:rPr>
          <w:rFonts w:ascii="Times New Roman" w:eastAsia="Times New Roman" w:hAnsi="Times New Roman" w:cs="Times New Roman"/>
          <w:sz w:val="24"/>
          <w:szCs w:val="24"/>
        </w:rPr>
        <w:t>asserted that the</w:t>
      </w:r>
      <w:r w:rsidRPr="00773152">
        <w:rPr>
          <w:rFonts w:ascii="Times New Roman" w:hAnsi="Times New Roman" w:cs="Times New Roman"/>
          <w:sz w:val="24"/>
          <w:szCs w:val="24"/>
        </w:rPr>
        <w:t xml:space="preserve"> statute does not require institutions to report individual</w:t>
      </w:r>
      <w:r w:rsidR="00C101C3" w:rsidRPr="00773152">
        <w:rPr>
          <w:rFonts w:ascii="Times New Roman" w:hAnsi="Times New Roman" w:cs="Times New Roman"/>
          <w:sz w:val="24"/>
          <w:szCs w:val="24"/>
        </w:rPr>
        <w:t>, unrestricted,</w:t>
      </w:r>
      <w:r w:rsidRPr="00773152">
        <w:rPr>
          <w:rFonts w:ascii="Times New Roman" w:hAnsi="Times New Roman" w:cs="Times New Roman"/>
          <w:sz w:val="24"/>
          <w:szCs w:val="24"/>
        </w:rPr>
        <w:t xml:space="preserve"> foreign gifts or foreign contracts</w:t>
      </w:r>
      <w:r w:rsidR="00362D56" w:rsidRPr="00773152">
        <w:rPr>
          <w:rFonts w:ascii="Times New Roman" w:hAnsi="Times New Roman" w:cs="Times New Roman"/>
          <w:sz w:val="24"/>
          <w:szCs w:val="24"/>
        </w:rPr>
        <w:t xml:space="preserve"> </w:t>
      </w:r>
      <w:r w:rsidR="000145E9" w:rsidRPr="00773152">
        <w:rPr>
          <w:rFonts w:ascii="Times New Roman" w:hAnsi="Times New Roman" w:cs="Times New Roman"/>
          <w:sz w:val="24"/>
          <w:szCs w:val="24"/>
        </w:rPr>
        <w:t xml:space="preserve">that are under $250,000 unless </w:t>
      </w:r>
      <w:r w:rsidR="00B0390A" w:rsidRPr="00773152">
        <w:rPr>
          <w:rFonts w:ascii="Times New Roman" w:hAnsi="Times New Roman" w:cs="Times New Roman"/>
          <w:sz w:val="24"/>
          <w:szCs w:val="24"/>
        </w:rPr>
        <w:t xml:space="preserve">the aggregate of </w:t>
      </w:r>
      <w:r w:rsidR="003D75F3" w:rsidRPr="00773152">
        <w:rPr>
          <w:rFonts w:ascii="Times New Roman" w:hAnsi="Times New Roman" w:cs="Times New Roman"/>
          <w:sz w:val="24"/>
          <w:szCs w:val="24"/>
        </w:rPr>
        <w:t>multiple gifts or contracts within a calendar year from the same foreign source</w:t>
      </w:r>
      <w:r w:rsidR="00264BF3" w:rsidRPr="00773152">
        <w:rPr>
          <w:rFonts w:ascii="Times New Roman" w:hAnsi="Times New Roman" w:cs="Times New Roman"/>
          <w:sz w:val="24"/>
          <w:szCs w:val="24"/>
        </w:rPr>
        <w:t xml:space="preserve"> add up to </w:t>
      </w:r>
      <w:r w:rsidRPr="00773152">
        <w:rPr>
          <w:rFonts w:ascii="Times New Roman" w:hAnsi="Times New Roman" w:cs="Times New Roman"/>
          <w:sz w:val="24"/>
          <w:szCs w:val="24"/>
        </w:rPr>
        <w:t xml:space="preserve">at least $250,000.  </w:t>
      </w:r>
      <w:r w:rsidR="00126806" w:rsidRPr="00773152">
        <w:rPr>
          <w:rFonts w:ascii="Times New Roman" w:hAnsi="Times New Roman" w:cs="Times New Roman"/>
          <w:sz w:val="24"/>
          <w:szCs w:val="24"/>
        </w:rPr>
        <w:t xml:space="preserve">These commenters </w:t>
      </w:r>
      <w:r w:rsidR="00E512F7" w:rsidRPr="00773152">
        <w:rPr>
          <w:rFonts w:ascii="Times New Roman" w:hAnsi="Times New Roman" w:cs="Times New Roman"/>
          <w:sz w:val="24"/>
          <w:szCs w:val="24"/>
        </w:rPr>
        <w:t xml:space="preserve">noted that </w:t>
      </w:r>
      <w:r w:rsidR="00BE6C8D" w:rsidRPr="00773152">
        <w:rPr>
          <w:rFonts w:ascii="Times New Roman" w:hAnsi="Times New Roman" w:cs="Times New Roman"/>
          <w:sz w:val="24"/>
          <w:szCs w:val="24"/>
        </w:rPr>
        <w:t>the Department’s response to question</w:t>
      </w:r>
      <w:r w:rsidR="00E512F7" w:rsidRPr="00773152">
        <w:rPr>
          <w:rFonts w:ascii="Times New Roman" w:hAnsi="Times New Roman" w:cs="Times New Roman"/>
          <w:sz w:val="24"/>
          <w:szCs w:val="24"/>
        </w:rPr>
        <w:t xml:space="preserve"> 2 of the supporting statement</w:t>
      </w:r>
      <w:r w:rsidR="00BE6C8D" w:rsidRPr="00773152">
        <w:rPr>
          <w:rFonts w:ascii="Times New Roman" w:hAnsi="Times New Roman" w:cs="Times New Roman"/>
          <w:sz w:val="24"/>
          <w:szCs w:val="24"/>
        </w:rPr>
        <w:t xml:space="preserve"> </w:t>
      </w:r>
      <w:r w:rsidR="000A4188" w:rsidRPr="00773152">
        <w:rPr>
          <w:rFonts w:ascii="Times New Roman" w:hAnsi="Times New Roman" w:cs="Times New Roman"/>
          <w:sz w:val="24"/>
          <w:szCs w:val="24"/>
        </w:rPr>
        <w:t xml:space="preserve">created some confusion as to whether </w:t>
      </w:r>
      <w:r w:rsidR="00414387" w:rsidRPr="00773152">
        <w:rPr>
          <w:rFonts w:ascii="Times New Roman" w:hAnsi="Times New Roman" w:cs="Times New Roman"/>
          <w:sz w:val="24"/>
          <w:szCs w:val="24"/>
        </w:rPr>
        <w:t xml:space="preserve">we expected </w:t>
      </w:r>
      <w:r w:rsidR="002B107B">
        <w:rPr>
          <w:rFonts w:ascii="Times New Roman" w:hAnsi="Times New Roman" w:cs="Times New Roman"/>
          <w:sz w:val="24"/>
          <w:szCs w:val="24"/>
        </w:rPr>
        <w:t>institution</w:t>
      </w:r>
      <w:r w:rsidR="00414387" w:rsidRPr="00773152">
        <w:rPr>
          <w:rFonts w:ascii="Times New Roman" w:hAnsi="Times New Roman" w:cs="Times New Roman"/>
          <w:sz w:val="24"/>
          <w:szCs w:val="24"/>
        </w:rPr>
        <w:t xml:space="preserve">s to report </w:t>
      </w:r>
      <w:r w:rsidR="003615A3" w:rsidRPr="00773152">
        <w:rPr>
          <w:rFonts w:ascii="Times New Roman" w:hAnsi="Times New Roman" w:cs="Times New Roman"/>
          <w:sz w:val="24"/>
          <w:szCs w:val="24"/>
        </w:rPr>
        <w:t>every</w:t>
      </w:r>
      <w:r w:rsidR="00414387" w:rsidRPr="00773152">
        <w:rPr>
          <w:rFonts w:ascii="Times New Roman" w:hAnsi="Times New Roman" w:cs="Times New Roman"/>
          <w:sz w:val="24"/>
          <w:szCs w:val="24"/>
        </w:rPr>
        <w:t xml:space="preserve"> </w:t>
      </w:r>
      <w:r w:rsidR="00413735" w:rsidRPr="00773152">
        <w:rPr>
          <w:rFonts w:ascii="Times New Roman" w:hAnsi="Times New Roman" w:cs="Times New Roman"/>
          <w:sz w:val="24"/>
          <w:szCs w:val="24"/>
        </w:rPr>
        <w:t xml:space="preserve">unrestricted </w:t>
      </w:r>
      <w:r w:rsidR="00414387" w:rsidRPr="00773152">
        <w:rPr>
          <w:rFonts w:ascii="Times New Roman" w:hAnsi="Times New Roman" w:cs="Times New Roman"/>
          <w:sz w:val="24"/>
          <w:szCs w:val="24"/>
        </w:rPr>
        <w:t>gift</w:t>
      </w:r>
      <w:r w:rsidR="008E4578" w:rsidRPr="00773152">
        <w:rPr>
          <w:rFonts w:ascii="Times New Roman" w:hAnsi="Times New Roman" w:cs="Times New Roman"/>
          <w:sz w:val="24"/>
          <w:szCs w:val="24"/>
        </w:rPr>
        <w:t xml:space="preserve"> or contract, including those that did not reach the $250,000 </w:t>
      </w:r>
      <w:r w:rsidR="00125CA0" w:rsidRPr="00773152">
        <w:rPr>
          <w:rFonts w:ascii="Times New Roman" w:hAnsi="Times New Roman" w:cs="Times New Roman"/>
          <w:sz w:val="24"/>
          <w:szCs w:val="24"/>
        </w:rPr>
        <w:t>aggregate threshold</w:t>
      </w:r>
      <w:r w:rsidR="001069DD" w:rsidRPr="00773152">
        <w:rPr>
          <w:rFonts w:ascii="Times New Roman" w:hAnsi="Times New Roman" w:cs="Times New Roman"/>
          <w:sz w:val="24"/>
          <w:szCs w:val="24"/>
        </w:rPr>
        <w:t xml:space="preserve">.  </w:t>
      </w:r>
      <w:r w:rsidR="00886F3F">
        <w:rPr>
          <w:rFonts w:ascii="Times New Roman" w:hAnsi="Times New Roman" w:cs="Times New Roman"/>
          <w:sz w:val="24"/>
          <w:szCs w:val="24"/>
        </w:rPr>
        <w:t xml:space="preserve">Another commenter </w:t>
      </w:r>
      <w:r w:rsidR="006B4EE7">
        <w:rPr>
          <w:rFonts w:ascii="Times New Roman" w:hAnsi="Times New Roman" w:cs="Times New Roman"/>
          <w:sz w:val="24"/>
          <w:szCs w:val="24"/>
        </w:rPr>
        <w:t xml:space="preserve">asserted that the statute does not require institutions to report individual foreign gift or foreign contracts.  </w:t>
      </w:r>
      <w:r w:rsidR="00F231EB">
        <w:rPr>
          <w:rFonts w:ascii="Times New Roman" w:hAnsi="Times New Roman" w:cs="Times New Roman"/>
          <w:sz w:val="24"/>
          <w:szCs w:val="24"/>
        </w:rPr>
        <w:t xml:space="preserve">Another commenter asked how institutions should report pledges and bequests, given that these are commitments by donors to make future gifts to an institution.    </w:t>
      </w:r>
    </w:p>
    <w:p w14:paraId="1D2E55AB" w14:textId="76B2A471" w:rsidR="00F12683" w:rsidRPr="00773152" w:rsidRDefault="00241FCA" w:rsidP="00241FCA">
      <w:pPr>
        <w:rPr>
          <w:rFonts w:ascii="Times New Roman" w:eastAsia="Times New Roman" w:hAnsi="Times New Roman" w:cs="Times New Roman"/>
          <w:sz w:val="24"/>
          <w:szCs w:val="24"/>
        </w:rPr>
      </w:pPr>
      <w:r w:rsidRPr="00773152">
        <w:rPr>
          <w:rFonts w:ascii="Times New Roman" w:eastAsia="Times New Roman" w:hAnsi="Times New Roman" w:cs="Times New Roman"/>
          <w:b/>
          <w:sz w:val="24"/>
          <w:szCs w:val="24"/>
        </w:rPr>
        <w:t xml:space="preserve">  </w:t>
      </w:r>
    </w:p>
    <w:p w14:paraId="486E46BE" w14:textId="2DD54EAF" w:rsidR="00F231EB" w:rsidRDefault="00264BF3" w:rsidP="00F231EB">
      <w:pPr>
        <w:autoSpaceDE w:val="0"/>
        <w:autoSpaceDN w:val="0"/>
        <w:adjustRightInd w:val="0"/>
        <w:spacing w:after="0" w:line="240" w:lineRule="auto"/>
        <w:rPr>
          <w:rFonts w:ascii="Times New Roman" w:hAnsi="Times New Roman" w:cs="Times New Roman"/>
          <w:color w:val="000000"/>
          <w:sz w:val="24"/>
          <w:szCs w:val="24"/>
        </w:rPr>
      </w:pPr>
      <w:r w:rsidRPr="00773152">
        <w:rPr>
          <w:rFonts w:ascii="Times New Roman" w:eastAsia="Times New Roman" w:hAnsi="Times New Roman" w:cs="Times New Roman"/>
          <w:b/>
          <w:sz w:val="24"/>
          <w:szCs w:val="24"/>
        </w:rPr>
        <w:t>Response</w:t>
      </w:r>
      <w:r w:rsidRPr="00773152">
        <w:rPr>
          <w:rFonts w:ascii="Times New Roman" w:eastAsia="Times New Roman" w:hAnsi="Times New Roman" w:cs="Times New Roman"/>
          <w:sz w:val="24"/>
          <w:szCs w:val="24"/>
        </w:rPr>
        <w:t>:  We agree with these commenters</w:t>
      </w:r>
      <w:r w:rsidR="00A8281E" w:rsidRPr="00773152">
        <w:rPr>
          <w:rFonts w:ascii="Times New Roman" w:eastAsia="Times New Roman" w:hAnsi="Times New Roman" w:cs="Times New Roman"/>
          <w:sz w:val="24"/>
          <w:szCs w:val="24"/>
        </w:rPr>
        <w:t xml:space="preserve">’ </w:t>
      </w:r>
      <w:r w:rsidR="0021134C" w:rsidRPr="00773152">
        <w:rPr>
          <w:rFonts w:ascii="Times New Roman" w:eastAsia="Times New Roman" w:hAnsi="Times New Roman" w:cs="Times New Roman"/>
          <w:sz w:val="24"/>
          <w:szCs w:val="24"/>
        </w:rPr>
        <w:t>interpretation of the statute</w:t>
      </w:r>
      <w:r w:rsidR="007E299C" w:rsidRPr="00773152">
        <w:rPr>
          <w:rFonts w:ascii="Times New Roman" w:eastAsia="Times New Roman" w:hAnsi="Times New Roman" w:cs="Times New Roman"/>
          <w:sz w:val="24"/>
          <w:szCs w:val="24"/>
        </w:rPr>
        <w:t xml:space="preserve">.  </w:t>
      </w:r>
      <w:r w:rsidR="00BD7F81" w:rsidRPr="00773152">
        <w:rPr>
          <w:rFonts w:ascii="Times New Roman" w:eastAsia="Times New Roman" w:hAnsi="Times New Roman" w:cs="Times New Roman"/>
          <w:sz w:val="24"/>
          <w:szCs w:val="24"/>
        </w:rPr>
        <w:t xml:space="preserve">The response in question 2 of the supporting statement was limited to “institutions subject to this information request” which does not include institutions that receive less than an aggregate of $250,00 from a particular foreign source within a calendar year.  </w:t>
      </w:r>
      <w:r w:rsidR="00C10370" w:rsidRPr="00773152">
        <w:rPr>
          <w:rFonts w:ascii="Times New Roman" w:eastAsia="Times New Roman" w:hAnsi="Times New Roman" w:cs="Times New Roman"/>
          <w:sz w:val="24"/>
          <w:szCs w:val="24"/>
        </w:rPr>
        <w:t>We note that t</w:t>
      </w:r>
      <w:r w:rsidR="00C52CEF" w:rsidRPr="00773152">
        <w:rPr>
          <w:rFonts w:ascii="Times New Roman" w:eastAsia="Times New Roman" w:hAnsi="Times New Roman" w:cs="Times New Roman"/>
          <w:sz w:val="24"/>
          <w:szCs w:val="24"/>
        </w:rPr>
        <w:t xml:space="preserve">he $250,000 threshold does not </w:t>
      </w:r>
      <w:r w:rsidR="004913C4" w:rsidRPr="00773152">
        <w:rPr>
          <w:rFonts w:ascii="Times New Roman" w:eastAsia="Times New Roman" w:hAnsi="Times New Roman" w:cs="Times New Roman"/>
          <w:sz w:val="24"/>
          <w:szCs w:val="24"/>
        </w:rPr>
        <w:t xml:space="preserve">require institutions to report gifts </w:t>
      </w:r>
      <w:r w:rsidR="00E019BA">
        <w:rPr>
          <w:rFonts w:ascii="Times New Roman" w:eastAsia="Times New Roman" w:hAnsi="Times New Roman" w:cs="Times New Roman"/>
          <w:sz w:val="24"/>
          <w:szCs w:val="24"/>
        </w:rPr>
        <w:t xml:space="preserve">from </w:t>
      </w:r>
      <w:r w:rsidR="004913C4" w:rsidRPr="00773152">
        <w:rPr>
          <w:rFonts w:ascii="Times New Roman" w:eastAsia="Times New Roman" w:hAnsi="Times New Roman" w:cs="Times New Roman"/>
          <w:sz w:val="24"/>
          <w:szCs w:val="24"/>
        </w:rPr>
        <w:t xml:space="preserve">or contracts </w:t>
      </w:r>
      <w:r w:rsidR="00E019BA">
        <w:rPr>
          <w:rFonts w:ascii="Times New Roman" w:eastAsia="Times New Roman" w:hAnsi="Times New Roman" w:cs="Times New Roman"/>
          <w:sz w:val="24"/>
          <w:szCs w:val="24"/>
        </w:rPr>
        <w:t xml:space="preserve">with a foreign source </w:t>
      </w:r>
      <w:r w:rsidR="004913C4" w:rsidRPr="00773152">
        <w:rPr>
          <w:rFonts w:ascii="Times New Roman" w:eastAsia="Times New Roman" w:hAnsi="Times New Roman" w:cs="Times New Roman"/>
          <w:sz w:val="24"/>
          <w:szCs w:val="24"/>
        </w:rPr>
        <w:t xml:space="preserve">under $250,000 unless the </w:t>
      </w:r>
      <w:r w:rsidR="004913C4" w:rsidRPr="00C04517">
        <w:rPr>
          <w:rFonts w:ascii="Times New Roman" w:eastAsia="Times New Roman" w:hAnsi="Times New Roman" w:cs="Times New Roman"/>
          <w:sz w:val="24"/>
          <w:szCs w:val="24"/>
        </w:rPr>
        <w:t xml:space="preserve">aggregate </w:t>
      </w:r>
      <w:r w:rsidR="00E019BA" w:rsidRPr="00C04517">
        <w:rPr>
          <w:rFonts w:ascii="Times New Roman" w:eastAsia="Times New Roman" w:hAnsi="Times New Roman" w:cs="Times New Roman"/>
          <w:sz w:val="24"/>
          <w:szCs w:val="24"/>
        </w:rPr>
        <w:t xml:space="preserve">value </w:t>
      </w:r>
      <w:r w:rsidR="004913C4" w:rsidRPr="00A80095">
        <w:rPr>
          <w:rFonts w:ascii="Times New Roman" w:eastAsia="Times New Roman" w:hAnsi="Times New Roman" w:cs="Times New Roman"/>
          <w:sz w:val="24"/>
          <w:szCs w:val="24"/>
        </w:rPr>
        <w:t xml:space="preserve">of </w:t>
      </w:r>
      <w:r w:rsidR="00E019BA" w:rsidRPr="00507ADF">
        <w:rPr>
          <w:rFonts w:ascii="Times New Roman" w:eastAsia="Times New Roman" w:hAnsi="Times New Roman" w:cs="Times New Roman"/>
          <w:sz w:val="24"/>
          <w:szCs w:val="24"/>
        </w:rPr>
        <w:t xml:space="preserve">all </w:t>
      </w:r>
      <w:r w:rsidR="004913C4" w:rsidRPr="00507ADF">
        <w:rPr>
          <w:rFonts w:ascii="Times New Roman" w:eastAsia="Times New Roman" w:hAnsi="Times New Roman" w:cs="Times New Roman"/>
          <w:sz w:val="24"/>
          <w:szCs w:val="24"/>
        </w:rPr>
        <w:t xml:space="preserve">gifts </w:t>
      </w:r>
      <w:r w:rsidR="00E019BA" w:rsidRPr="00507ADF">
        <w:rPr>
          <w:rFonts w:ascii="Times New Roman" w:eastAsia="Times New Roman" w:hAnsi="Times New Roman" w:cs="Times New Roman"/>
          <w:sz w:val="24"/>
          <w:szCs w:val="24"/>
        </w:rPr>
        <w:t>from and</w:t>
      </w:r>
      <w:r w:rsidR="004913C4" w:rsidRPr="00220989">
        <w:rPr>
          <w:rFonts w:ascii="Times New Roman" w:eastAsia="Times New Roman" w:hAnsi="Times New Roman" w:cs="Times New Roman"/>
          <w:sz w:val="24"/>
          <w:szCs w:val="24"/>
        </w:rPr>
        <w:t xml:space="preserve"> contracts </w:t>
      </w:r>
      <w:r w:rsidR="00E019BA" w:rsidRPr="0086169D">
        <w:rPr>
          <w:rFonts w:ascii="Times New Roman" w:eastAsia="Times New Roman" w:hAnsi="Times New Roman" w:cs="Times New Roman"/>
          <w:sz w:val="24"/>
          <w:szCs w:val="24"/>
        </w:rPr>
        <w:t xml:space="preserve">with that foreign source </w:t>
      </w:r>
      <w:r w:rsidR="004913C4" w:rsidRPr="00C34E1E">
        <w:rPr>
          <w:rFonts w:ascii="Times New Roman" w:eastAsia="Times New Roman" w:hAnsi="Times New Roman" w:cs="Times New Roman"/>
          <w:sz w:val="24"/>
          <w:szCs w:val="24"/>
        </w:rPr>
        <w:t xml:space="preserve">within a calendar year </w:t>
      </w:r>
      <w:r w:rsidR="00E019BA" w:rsidRPr="001F5204">
        <w:rPr>
          <w:rFonts w:ascii="Times New Roman" w:eastAsia="Times New Roman" w:hAnsi="Times New Roman" w:cs="Times New Roman"/>
          <w:sz w:val="24"/>
          <w:szCs w:val="24"/>
        </w:rPr>
        <w:t>total</w:t>
      </w:r>
      <w:r w:rsidR="004913C4" w:rsidRPr="000B0376">
        <w:rPr>
          <w:rFonts w:ascii="Times New Roman" w:eastAsia="Times New Roman" w:hAnsi="Times New Roman" w:cs="Times New Roman"/>
          <w:sz w:val="24"/>
          <w:szCs w:val="24"/>
        </w:rPr>
        <w:t xml:space="preserve"> at least $250,000</w:t>
      </w:r>
      <w:r w:rsidR="00C10370" w:rsidRPr="008D43B6">
        <w:rPr>
          <w:rFonts w:ascii="Times New Roman" w:eastAsia="Times New Roman" w:hAnsi="Times New Roman" w:cs="Times New Roman"/>
          <w:sz w:val="24"/>
          <w:szCs w:val="24"/>
        </w:rPr>
        <w:t>.</w:t>
      </w:r>
      <w:r w:rsidR="00727051" w:rsidRPr="008D43B6">
        <w:rPr>
          <w:rFonts w:ascii="Times New Roman" w:eastAsia="Times New Roman" w:hAnsi="Times New Roman" w:cs="Times New Roman"/>
          <w:sz w:val="24"/>
          <w:szCs w:val="24"/>
        </w:rPr>
        <w:t xml:space="preserve">  </w:t>
      </w:r>
      <w:r w:rsidR="00302758" w:rsidRPr="008B2282">
        <w:rPr>
          <w:rFonts w:ascii="Times New Roman" w:eastAsia="Times New Roman" w:hAnsi="Times New Roman" w:cs="Times New Roman"/>
          <w:sz w:val="24"/>
          <w:szCs w:val="24"/>
        </w:rPr>
        <w:t xml:space="preserve">Where the aggregate value of all gifts from and contracts with </w:t>
      </w:r>
      <w:r w:rsidR="00E82A44" w:rsidRPr="008B2282">
        <w:rPr>
          <w:rFonts w:ascii="Times New Roman" w:eastAsia="Times New Roman" w:hAnsi="Times New Roman" w:cs="Times New Roman"/>
          <w:sz w:val="24"/>
          <w:szCs w:val="24"/>
        </w:rPr>
        <w:t xml:space="preserve">that </w:t>
      </w:r>
      <w:r w:rsidR="00302758" w:rsidRPr="008B2282">
        <w:rPr>
          <w:rFonts w:ascii="Times New Roman" w:eastAsia="Times New Roman" w:hAnsi="Times New Roman" w:cs="Times New Roman"/>
          <w:sz w:val="24"/>
          <w:szCs w:val="24"/>
        </w:rPr>
        <w:t>foreign source</w:t>
      </w:r>
      <w:r w:rsidR="00447698" w:rsidRPr="008B2282">
        <w:rPr>
          <w:rFonts w:ascii="Times New Roman" w:eastAsia="Times New Roman" w:hAnsi="Times New Roman" w:cs="Times New Roman"/>
          <w:sz w:val="24"/>
          <w:szCs w:val="24"/>
        </w:rPr>
        <w:t xml:space="preserve"> </w:t>
      </w:r>
      <w:r w:rsidR="000A20C4" w:rsidRPr="008B2282">
        <w:rPr>
          <w:rFonts w:ascii="Times New Roman" w:eastAsia="Times New Roman" w:hAnsi="Times New Roman" w:cs="Times New Roman"/>
          <w:sz w:val="24"/>
          <w:szCs w:val="24"/>
        </w:rPr>
        <w:t xml:space="preserve">totals at least $250,000 within a calendar year, </w:t>
      </w:r>
      <w:r w:rsidR="00B6625D" w:rsidRPr="008B2282">
        <w:rPr>
          <w:rFonts w:ascii="Times New Roman" w:eastAsia="Times New Roman" w:hAnsi="Times New Roman" w:cs="Times New Roman"/>
          <w:sz w:val="24"/>
          <w:szCs w:val="24"/>
        </w:rPr>
        <w:t xml:space="preserve">we believe it is </w:t>
      </w:r>
      <w:r w:rsidR="00E54EFE" w:rsidRPr="008B2282">
        <w:rPr>
          <w:rFonts w:ascii="Times New Roman" w:eastAsia="Times New Roman" w:hAnsi="Times New Roman" w:cs="Times New Roman"/>
          <w:sz w:val="24"/>
          <w:szCs w:val="24"/>
        </w:rPr>
        <w:t xml:space="preserve">reasonable to interpret the statute as requiring </w:t>
      </w:r>
      <w:r w:rsidR="001254B1" w:rsidRPr="008B2282">
        <w:rPr>
          <w:rFonts w:ascii="Times New Roman" w:eastAsia="Times New Roman" w:hAnsi="Times New Roman" w:cs="Times New Roman"/>
          <w:sz w:val="24"/>
          <w:szCs w:val="24"/>
        </w:rPr>
        <w:t>disaggregated information about each related transaction</w:t>
      </w:r>
      <w:r w:rsidR="009D0FFA" w:rsidRPr="008B2282">
        <w:rPr>
          <w:rFonts w:ascii="Times New Roman" w:eastAsia="Times New Roman" w:hAnsi="Times New Roman" w:cs="Times New Roman"/>
          <w:sz w:val="24"/>
          <w:szCs w:val="24"/>
        </w:rPr>
        <w:t xml:space="preserve"> because </w:t>
      </w:r>
      <w:r w:rsidR="00E52B27" w:rsidRPr="008B2282">
        <w:rPr>
          <w:rFonts w:ascii="Times New Roman" w:eastAsia="Times New Roman" w:hAnsi="Times New Roman" w:cs="Times New Roman"/>
          <w:sz w:val="24"/>
          <w:szCs w:val="24"/>
        </w:rPr>
        <w:t xml:space="preserve">we interpret the </w:t>
      </w:r>
      <w:r w:rsidR="00A77ED1" w:rsidRPr="008B2282">
        <w:rPr>
          <w:rFonts w:ascii="Times New Roman" w:eastAsia="Times New Roman" w:hAnsi="Times New Roman" w:cs="Times New Roman"/>
          <w:sz w:val="24"/>
          <w:szCs w:val="24"/>
        </w:rPr>
        <w:t>“aggregate dollar amount” to include the disaggregated amounts (</w:t>
      </w:r>
      <w:r w:rsidR="0028572C" w:rsidRPr="008B2282">
        <w:rPr>
          <w:rFonts w:ascii="Times New Roman" w:eastAsia="Times New Roman" w:hAnsi="Times New Roman" w:cs="Times New Roman"/>
          <w:sz w:val="24"/>
          <w:szCs w:val="24"/>
        </w:rPr>
        <w:t xml:space="preserve">the </w:t>
      </w:r>
      <w:r w:rsidR="00A77ED1" w:rsidRPr="008B2282">
        <w:rPr>
          <w:rFonts w:ascii="Times New Roman" w:eastAsia="Times New Roman" w:hAnsi="Times New Roman" w:cs="Times New Roman"/>
          <w:sz w:val="24"/>
          <w:szCs w:val="24"/>
        </w:rPr>
        <w:t xml:space="preserve">aggregate by its very nature includes it disaggregated component parts).  </w:t>
      </w:r>
      <w:r w:rsidR="00DB12F5" w:rsidRPr="008B2282">
        <w:rPr>
          <w:rFonts w:ascii="Times New Roman" w:eastAsia="Times New Roman" w:hAnsi="Times New Roman" w:cs="Times New Roman"/>
          <w:sz w:val="24"/>
          <w:szCs w:val="24"/>
        </w:rPr>
        <w:t>Moreover</w:t>
      </w:r>
      <w:r w:rsidR="00A77ED1" w:rsidRPr="008B2282">
        <w:rPr>
          <w:rFonts w:ascii="Times New Roman" w:eastAsia="Times New Roman" w:hAnsi="Times New Roman" w:cs="Times New Roman"/>
          <w:sz w:val="24"/>
          <w:szCs w:val="24"/>
        </w:rPr>
        <w:t xml:space="preserve">, </w:t>
      </w:r>
      <w:r w:rsidR="000A20C4" w:rsidRPr="008B2282">
        <w:rPr>
          <w:rFonts w:ascii="Times New Roman" w:eastAsia="Times New Roman" w:hAnsi="Times New Roman" w:cs="Times New Roman"/>
          <w:sz w:val="24"/>
          <w:szCs w:val="24"/>
        </w:rPr>
        <w:t>the Department needs</w:t>
      </w:r>
      <w:r w:rsidR="00A8722E" w:rsidRPr="008B2282">
        <w:rPr>
          <w:rFonts w:ascii="Times New Roman" w:eastAsia="Times New Roman" w:hAnsi="Times New Roman" w:cs="Times New Roman"/>
          <w:sz w:val="24"/>
          <w:szCs w:val="24"/>
        </w:rPr>
        <w:t xml:space="preserve"> this</w:t>
      </w:r>
      <w:r w:rsidR="000A20C4" w:rsidRPr="008B2282">
        <w:rPr>
          <w:rFonts w:ascii="Times New Roman" w:eastAsia="Times New Roman" w:hAnsi="Times New Roman" w:cs="Times New Roman"/>
          <w:sz w:val="24"/>
          <w:szCs w:val="24"/>
        </w:rPr>
        <w:t xml:space="preserve"> </w:t>
      </w:r>
      <w:r w:rsidR="00790DE6" w:rsidRPr="008B2282">
        <w:rPr>
          <w:rFonts w:ascii="Times New Roman" w:eastAsia="Times New Roman" w:hAnsi="Times New Roman" w:cs="Times New Roman"/>
          <w:sz w:val="24"/>
          <w:szCs w:val="24"/>
        </w:rPr>
        <w:t xml:space="preserve">information </w:t>
      </w:r>
      <w:r w:rsidR="0072515F" w:rsidRPr="008B2282">
        <w:rPr>
          <w:rFonts w:ascii="Times New Roman" w:eastAsia="Times New Roman" w:hAnsi="Times New Roman" w:cs="Times New Roman"/>
          <w:sz w:val="24"/>
          <w:szCs w:val="24"/>
        </w:rPr>
        <w:t xml:space="preserve">to </w:t>
      </w:r>
      <w:r w:rsidR="00454D0E" w:rsidRPr="008B2282">
        <w:rPr>
          <w:rFonts w:ascii="Times New Roman" w:eastAsia="Times New Roman" w:hAnsi="Times New Roman" w:cs="Times New Roman"/>
          <w:sz w:val="24"/>
          <w:szCs w:val="24"/>
        </w:rPr>
        <w:t xml:space="preserve">verify </w:t>
      </w:r>
      <w:r w:rsidR="00BB72B2">
        <w:rPr>
          <w:rFonts w:ascii="Times New Roman" w:eastAsia="Times New Roman" w:hAnsi="Times New Roman" w:cs="Times New Roman"/>
          <w:sz w:val="24"/>
          <w:szCs w:val="24"/>
        </w:rPr>
        <w:t>S</w:t>
      </w:r>
      <w:r w:rsidR="00A06CBD" w:rsidRPr="008B2282">
        <w:rPr>
          <w:rFonts w:ascii="Times New Roman" w:eastAsia="Times New Roman" w:hAnsi="Times New Roman" w:cs="Times New Roman"/>
          <w:sz w:val="24"/>
          <w:szCs w:val="24"/>
        </w:rPr>
        <w:t>ection 117</w:t>
      </w:r>
      <w:r w:rsidR="00BB72B2">
        <w:rPr>
          <w:rFonts w:ascii="Times New Roman" w:eastAsia="Times New Roman" w:hAnsi="Times New Roman" w:cs="Times New Roman"/>
          <w:sz w:val="24"/>
          <w:szCs w:val="24"/>
        </w:rPr>
        <w:t xml:space="preserve"> compliance</w:t>
      </w:r>
      <w:r w:rsidR="00E506FE" w:rsidRPr="008B2282">
        <w:rPr>
          <w:rFonts w:ascii="Times New Roman" w:eastAsia="Times New Roman" w:hAnsi="Times New Roman" w:cs="Times New Roman"/>
          <w:bCs/>
          <w:sz w:val="24"/>
          <w:szCs w:val="24"/>
        </w:rPr>
        <w:t>.</w:t>
      </w:r>
      <w:r w:rsidR="00E506FE" w:rsidRPr="00C04517">
        <w:rPr>
          <w:rFonts w:ascii="Times New Roman" w:eastAsia="Times New Roman" w:hAnsi="Times New Roman" w:cs="Times New Roman"/>
          <w:bCs/>
          <w:sz w:val="24"/>
          <w:szCs w:val="24"/>
        </w:rPr>
        <w:t xml:space="preserve">  </w:t>
      </w:r>
      <w:r w:rsidR="00F231EB" w:rsidRPr="00C04517">
        <w:rPr>
          <w:rFonts w:ascii="Times New Roman" w:hAnsi="Times New Roman" w:cs="Times New Roman"/>
          <w:color w:val="000000"/>
          <w:sz w:val="24"/>
          <w:szCs w:val="24"/>
        </w:rPr>
        <w:t>If an institution receives all or a portion of a pledge</w:t>
      </w:r>
      <w:r w:rsidR="00F231EB">
        <w:rPr>
          <w:rFonts w:ascii="Times New Roman" w:hAnsi="Times New Roman" w:cs="Times New Roman"/>
          <w:color w:val="000000"/>
          <w:sz w:val="24"/>
          <w:szCs w:val="24"/>
        </w:rPr>
        <w:t xml:space="preserve"> or bequest that meets the $250,000 threshold (including in the aggregate) within a calendar year, </w:t>
      </w:r>
      <w:r w:rsidR="00BB72B2">
        <w:rPr>
          <w:rFonts w:ascii="Times New Roman" w:hAnsi="Times New Roman" w:cs="Times New Roman"/>
          <w:color w:val="000000"/>
          <w:sz w:val="24"/>
          <w:szCs w:val="24"/>
        </w:rPr>
        <w:t xml:space="preserve">that portion of a pledge or bequest </w:t>
      </w:r>
      <w:r w:rsidR="00F231EB">
        <w:rPr>
          <w:rFonts w:ascii="Times New Roman" w:hAnsi="Times New Roman" w:cs="Times New Roman"/>
          <w:color w:val="000000"/>
          <w:sz w:val="24"/>
          <w:szCs w:val="24"/>
        </w:rPr>
        <w:t>must be disclosed.</w:t>
      </w:r>
    </w:p>
    <w:p w14:paraId="15993BCB" w14:textId="499CC6DB" w:rsidR="00F12683" w:rsidRPr="00773152" w:rsidRDefault="00F12683" w:rsidP="00F12683">
      <w:pPr>
        <w:rPr>
          <w:rFonts w:ascii="Times New Roman" w:eastAsia="Times New Roman" w:hAnsi="Times New Roman" w:cs="Times New Roman"/>
          <w:sz w:val="24"/>
          <w:szCs w:val="24"/>
        </w:rPr>
      </w:pPr>
    </w:p>
    <w:p w14:paraId="33FCBF0B" w14:textId="3BA29CF3" w:rsidR="00AF512B" w:rsidRPr="00773152" w:rsidRDefault="00AF512B" w:rsidP="00F12683">
      <w:pPr>
        <w:rPr>
          <w:rFonts w:ascii="Times New Roman" w:eastAsia="Times New Roman" w:hAnsi="Times New Roman" w:cs="Times New Roman"/>
          <w:sz w:val="24"/>
          <w:szCs w:val="24"/>
        </w:rPr>
      </w:pPr>
      <w:r w:rsidRPr="00773152">
        <w:rPr>
          <w:rFonts w:ascii="Times New Roman" w:eastAsia="Times New Roman" w:hAnsi="Times New Roman" w:cs="Times New Roman"/>
          <w:b/>
          <w:sz w:val="24"/>
          <w:szCs w:val="24"/>
        </w:rPr>
        <w:t>Changes</w:t>
      </w:r>
      <w:r w:rsidRPr="00773152">
        <w:rPr>
          <w:rFonts w:ascii="Times New Roman" w:eastAsia="Times New Roman" w:hAnsi="Times New Roman" w:cs="Times New Roman"/>
          <w:sz w:val="24"/>
          <w:szCs w:val="24"/>
        </w:rPr>
        <w:t xml:space="preserve">:  </w:t>
      </w:r>
      <w:r w:rsidR="004913C4" w:rsidRPr="00773152">
        <w:rPr>
          <w:rFonts w:ascii="Times New Roman" w:eastAsia="Times New Roman" w:hAnsi="Times New Roman" w:cs="Times New Roman"/>
          <w:sz w:val="24"/>
          <w:szCs w:val="24"/>
        </w:rPr>
        <w:t xml:space="preserve">We </w:t>
      </w:r>
      <w:r w:rsidR="00A77BC8">
        <w:rPr>
          <w:rFonts w:ascii="Times New Roman" w:eastAsia="Times New Roman" w:hAnsi="Times New Roman" w:cs="Times New Roman"/>
          <w:sz w:val="24"/>
          <w:szCs w:val="24"/>
        </w:rPr>
        <w:t>have clarified the statement in the supporting statement to specif</w:t>
      </w:r>
      <w:r w:rsidR="00727051">
        <w:rPr>
          <w:rFonts w:ascii="Times New Roman" w:eastAsia="Times New Roman" w:hAnsi="Times New Roman" w:cs="Times New Roman"/>
          <w:sz w:val="24"/>
          <w:szCs w:val="24"/>
        </w:rPr>
        <w:t>y</w:t>
      </w:r>
      <w:r w:rsidR="00A77BC8">
        <w:rPr>
          <w:rFonts w:ascii="Times New Roman" w:eastAsia="Times New Roman" w:hAnsi="Times New Roman" w:cs="Times New Roman"/>
          <w:sz w:val="24"/>
          <w:szCs w:val="24"/>
        </w:rPr>
        <w:t xml:space="preserve"> that </w:t>
      </w:r>
      <w:r w:rsidR="002B107B">
        <w:rPr>
          <w:rFonts w:ascii="Times New Roman" w:hAnsi="Times New Roman" w:cs="Times New Roman"/>
          <w:sz w:val="24"/>
          <w:szCs w:val="24"/>
        </w:rPr>
        <w:t>institution</w:t>
      </w:r>
      <w:r w:rsidR="00727051">
        <w:rPr>
          <w:rFonts w:ascii="Times New Roman" w:eastAsia="Times New Roman" w:hAnsi="Times New Roman" w:cs="Times New Roman"/>
          <w:sz w:val="24"/>
          <w:szCs w:val="24"/>
        </w:rPr>
        <w:t>s</w:t>
      </w:r>
      <w:r w:rsidR="00A77BC8">
        <w:rPr>
          <w:rFonts w:ascii="Times New Roman" w:eastAsia="Times New Roman" w:hAnsi="Times New Roman" w:cs="Times New Roman"/>
          <w:sz w:val="24"/>
          <w:szCs w:val="24"/>
        </w:rPr>
        <w:t xml:space="preserve"> must report only gift</w:t>
      </w:r>
      <w:r w:rsidR="00727051">
        <w:rPr>
          <w:rFonts w:ascii="Times New Roman" w:eastAsia="Times New Roman" w:hAnsi="Times New Roman" w:cs="Times New Roman"/>
          <w:sz w:val="24"/>
          <w:szCs w:val="24"/>
        </w:rPr>
        <w:t>s from</w:t>
      </w:r>
      <w:r w:rsidR="00A77BC8">
        <w:rPr>
          <w:rFonts w:ascii="Times New Roman" w:eastAsia="Times New Roman" w:hAnsi="Times New Roman" w:cs="Times New Roman"/>
          <w:sz w:val="24"/>
          <w:szCs w:val="24"/>
        </w:rPr>
        <w:t xml:space="preserve"> </w:t>
      </w:r>
      <w:r w:rsidR="00727051">
        <w:rPr>
          <w:rFonts w:ascii="Times New Roman" w:eastAsia="Times New Roman" w:hAnsi="Times New Roman" w:cs="Times New Roman"/>
          <w:sz w:val="24"/>
          <w:szCs w:val="24"/>
        </w:rPr>
        <w:t>and</w:t>
      </w:r>
      <w:r w:rsidR="00A77BC8">
        <w:rPr>
          <w:rFonts w:ascii="Times New Roman" w:eastAsia="Times New Roman" w:hAnsi="Times New Roman" w:cs="Times New Roman"/>
          <w:sz w:val="24"/>
          <w:szCs w:val="24"/>
        </w:rPr>
        <w:t xml:space="preserve"> contract</w:t>
      </w:r>
      <w:r w:rsidR="00727051">
        <w:rPr>
          <w:rFonts w:ascii="Times New Roman" w:eastAsia="Times New Roman" w:hAnsi="Times New Roman" w:cs="Times New Roman"/>
          <w:sz w:val="24"/>
          <w:szCs w:val="24"/>
        </w:rPr>
        <w:t>s with a foreign source,</w:t>
      </w:r>
      <w:r w:rsidR="00A77BC8">
        <w:rPr>
          <w:rFonts w:ascii="Times New Roman" w:eastAsia="Times New Roman" w:hAnsi="Times New Roman" w:cs="Times New Roman"/>
          <w:sz w:val="24"/>
          <w:szCs w:val="24"/>
        </w:rPr>
        <w:t xml:space="preserve"> </w:t>
      </w:r>
      <w:r w:rsidR="00A77BC8" w:rsidRPr="00A77BC8">
        <w:rPr>
          <w:rFonts w:ascii="Times New Roman" w:hAnsi="Times New Roman"/>
          <w:sz w:val="24"/>
          <w:szCs w:val="24"/>
        </w:rPr>
        <w:t xml:space="preserve">the value of which is $250,000 or more, considered alone or in combination with all other gifts from </w:t>
      </w:r>
      <w:r w:rsidR="00727051">
        <w:rPr>
          <w:rFonts w:ascii="Times New Roman" w:hAnsi="Times New Roman"/>
          <w:sz w:val="24"/>
          <w:szCs w:val="24"/>
        </w:rPr>
        <w:t>and</w:t>
      </w:r>
      <w:r w:rsidR="007E57C5">
        <w:rPr>
          <w:rFonts w:ascii="Times New Roman" w:hAnsi="Times New Roman"/>
          <w:sz w:val="24"/>
          <w:szCs w:val="24"/>
        </w:rPr>
        <w:t xml:space="preserve"> </w:t>
      </w:r>
      <w:r w:rsidR="00A77BC8" w:rsidRPr="00A77BC8">
        <w:rPr>
          <w:rFonts w:ascii="Times New Roman" w:hAnsi="Times New Roman"/>
          <w:sz w:val="24"/>
          <w:szCs w:val="24"/>
        </w:rPr>
        <w:t xml:space="preserve">contracts with that foreign source within a calendar year. </w:t>
      </w:r>
    </w:p>
    <w:p w14:paraId="1061A495" w14:textId="5196FE4D" w:rsidR="00F12683" w:rsidRPr="00773152" w:rsidRDefault="00F12683" w:rsidP="00D41CC4">
      <w:pPr>
        <w:rPr>
          <w:rFonts w:ascii="Times New Roman" w:eastAsia="Times New Roman" w:hAnsi="Times New Roman" w:cs="Times New Roman"/>
          <w:b/>
          <w:sz w:val="24"/>
          <w:szCs w:val="24"/>
        </w:rPr>
      </w:pPr>
      <w:r w:rsidRPr="00773152">
        <w:rPr>
          <w:rFonts w:ascii="Times New Roman" w:eastAsia="Times New Roman" w:hAnsi="Times New Roman" w:cs="Times New Roman"/>
          <w:b/>
          <w:sz w:val="24"/>
          <w:szCs w:val="24"/>
        </w:rPr>
        <w:t xml:space="preserve">Name and </w:t>
      </w:r>
      <w:r w:rsidR="0093042D">
        <w:rPr>
          <w:rFonts w:ascii="Times New Roman" w:eastAsia="Times New Roman" w:hAnsi="Times New Roman" w:cs="Times New Roman"/>
          <w:b/>
          <w:sz w:val="24"/>
          <w:szCs w:val="24"/>
        </w:rPr>
        <w:t>A</w:t>
      </w:r>
      <w:r w:rsidRPr="00773152">
        <w:rPr>
          <w:rFonts w:ascii="Times New Roman" w:eastAsia="Times New Roman" w:hAnsi="Times New Roman" w:cs="Times New Roman"/>
          <w:b/>
          <w:sz w:val="24"/>
          <w:szCs w:val="24"/>
        </w:rPr>
        <w:t xml:space="preserve">ddress </w:t>
      </w:r>
    </w:p>
    <w:p w14:paraId="78325F95" w14:textId="6B385C00" w:rsidR="00AF293A" w:rsidRPr="00220989" w:rsidRDefault="00AF293A" w:rsidP="00AF293A">
      <w:pPr>
        <w:autoSpaceDE w:val="0"/>
        <w:autoSpaceDN w:val="0"/>
        <w:adjustRightInd w:val="0"/>
        <w:spacing w:after="0" w:line="240" w:lineRule="auto"/>
        <w:rPr>
          <w:rFonts w:ascii="Times New Roman" w:hAnsi="Times New Roman" w:cs="Times New Roman"/>
          <w:sz w:val="24"/>
          <w:szCs w:val="24"/>
        </w:rPr>
      </w:pPr>
      <w:bookmarkStart w:id="9" w:name="_Hlk26534558"/>
      <w:r w:rsidRPr="00773152">
        <w:rPr>
          <w:rFonts w:ascii="Times New Roman" w:eastAsia="Times New Roman" w:hAnsi="Times New Roman" w:cs="Times New Roman"/>
          <w:b/>
          <w:sz w:val="24"/>
          <w:szCs w:val="24"/>
        </w:rPr>
        <w:t>Comments</w:t>
      </w:r>
      <w:r w:rsidRPr="00773152">
        <w:rPr>
          <w:rFonts w:ascii="Times New Roman" w:eastAsia="Times New Roman" w:hAnsi="Times New Roman" w:cs="Times New Roman"/>
          <w:sz w:val="24"/>
          <w:szCs w:val="24"/>
        </w:rPr>
        <w:t xml:space="preserve">:  Some commenters asserted that </w:t>
      </w:r>
      <w:r w:rsidR="006A0AC4" w:rsidRPr="00773152">
        <w:rPr>
          <w:rFonts w:ascii="Times New Roman" w:eastAsia="Times New Roman" w:hAnsi="Times New Roman" w:cs="Times New Roman"/>
          <w:sz w:val="24"/>
          <w:szCs w:val="24"/>
        </w:rPr>
        <w:t xml:space="preserve">20 U.S.C. 1011f </w:t>
      </w:r>
      <w:r w:rsidRPr="00773152">
        <w:rPr>
          <w:rFonts w:ascii="Times New Roman" w:hAnsi="Times New Roman" w:cs="Times New Roman"/>
          <w:sz w:val="24"/>
          <w:szCs w:val="24"/>
        </w:rPr>
        <w:t xml:space="preserve">does not authorize </w:t>
      </w:r>
      <w:r w:rsidR="00BB72B2">
        <w:rPr>
          <w:rFonts w:ascii="Times New Roman" w:hAnsi="Times New Roman" w:cs="Times New Roman"/>
          <w:sz w:val="24"/>
          <w:szCs w:val="24"/>
        </w:rPr>
        <w:t>the Department</w:t>
      </w:r>
      <w:r w:rsidR="00BB72B2" w:rsidRPr="00773152">
        <w:rPr>
          <w:rFonts w:ascii="Times New Roman" w:hAnsi="Times New Roman" w:cs="Times New Roman"/>
          <w:sz w:val="24"/>
          <w:szCs w:val="24"/>
        </w:rPr>
        <w:t xml:space="preserve"> </w:t>
      </w:r>
      <w:r w:rsidRPr="00773152">
        <w:rPr>
          <w:rFonts w:ascii="Times New Roman" w:hAnsi="Times New Roman" w:cs="Times New Roman"/>
          <w:sz w:val="24"/>
          <w:szCs w:val="24"/>
        </w:rPr>
        <w:t>to ask the name</w:t>
      </w:r>
      <w:r w:rsidR="00353241" w:rsidRPr="00773152">
        <w:rPr>
          <w:rFonts w:ascii="Times New Roman" w:hAnsi="Times New Roman" w:cs="Times New Roman"/>
          <w:sz w:val="24"/>
          <w:szCs w:val="24"/>
        </w:rPr>
        <w:t xml:space="preserve"> or address</w:t>
      </w:r>
      <w:r w:rsidRPr="00773152">
        <w:rPr>
          <w:rFonts w:ascii="Times New Roman" w:hAnsi="Times New Roman" w:cs="Times New Roman"/>
          <w:sz w:val="24"/>
          <w:szCs w:val="24"/>
        </w:rPr>
        <w:t xml:space="preserve"> of </w:t>
      </w:r>
      <w:r w:rsidR="00353241" w:rsidRPr="00773152">
        <w:rPr>
          <w:rFonts w:ascii="Times New Roman" w:hAnsi="Times New Roman" w:cs="Times New Roman"/>
          <w:sz w:val="24"/>
          <w:szCs w:val="24"/>
        </w:rPr>
        <w:t>a</w:t>
      </w:r>
      <w:r w:rsidRPr="00773152">
        <w:rPr>
          <w:rFonts w:ascii="Times New Roman" w:hAnsi="Times New Roman" w:cs="Times New Roman"/>
          <w:sz w:val="24"/>
          <w:szCs w:val="24"/>
        </w:rPr>
        <w:t xml:space="preserve"> foreign source.  </w:t>
      </w:r>
      <w:r w:rsidR="00DF1565">
        <w:rPr>
          <w:rFonts w:ascii="Times New Roman" w:hAnsi="Times New Roman" w:cs="Times New Roman"/>
          <w:sz w:val="24"/>
          <w:szCs w:val="24"/>
        </w:rPr>
        <w:t>Some c</w:t>
      </w:r>
      <w:r w:rsidR="00666144" w:rsidRPr="00773152">
        <w:rPr>
          <w:rFonts w:ascii="Times New Roman" w:hAnsi="Times New Roman" w:cs="Times New Roman"/>
          <w:sz w:val="24"/>
          <w:szCs w:val="24"/>
        </w:rPr>
        <w:t xml:space="preserve">ommenters noted that </w:t>
      </w:r>
      <w:r w:rsidR="00DF1565">
        <w:rPr>
          <w:rFonts w:ascii="Times New Roman" w:hAnsi="Times New Roman" w:cs="Times New Roman"/>
          <w:sz w:val="24"/>
          <w:szCs w:val="24"/>
        </w:rPr>
        <w:t>certain</w:t>
      </w:r>
      <w:r w:rsidR="00C24C0C" w:rsidRPr="00773152">
        <w:rPr>
          <w:rFonts w:ascii="Times New Roman" w:hAnsi="Times New Roman" w:cs="Times New Roman"/>
          <w:sz w:val="24"/>
          <w:szCs w:val="24"/>
        </w:rPr>
        <w:t xml:space="preserve"> </w:t>
      </w:r>
      <w:r w:rsidR="006C617B">
        <w:rPr>
          <w:rFonts w:ascii="Times New Roman" w:hAnsi="Times New Roman" w:cs="Times New Roman"/>
          <w:sz w:val="24"/>
          <w:szCs w:val="24"/>
        </w:rPr>
        <w:t>parties</w:t>
      </w:r>
      <w:r w:rsidR="00C24C0C" w:rsidRPr="00773152">
        <w:rPr>
          <w:rFonts w:ascii="Times New Roman" w:hAnsi="Times New Roman" w:cs="Times New Roman"/>
          <w:sz w:val="24"/>
          <w:szCs w:val="24"/>
        </w:rPr>
        <w:t xml:space="preserve"> prefer to remain anonymous</w:t>
      </w:r>
      <w:r w:rsidR="00981858" w:rsidRPr="00773152">
        <w:rPr>
          <w:rFonts w:ascii="Times New Roman" w:hAnsi="Times New Roman" w:cs="Times New Roman"/>
          <w:sz w:val="24"/>
          <w:szCs w:val="24"/>
        </w:rPr>
        <w:t xml:space="preserve"> and that requiring disclosure of a </w:t>
      </w:r>
      <w:r w:rsidR="006C617B">
        <w:rPr>
          <w:rFonts w:ascii="Times New Roman" w:hAnsi="Times New Roman" w:cs="Times New Roman"/>
          <w:sz w:val="24"/>
          <w:szCs w:val="24"/>
        </w:rPr>
        <w:t>party</w:t>
      </w:r>
      <w:r w:rsidR="00981858" w:rsidRPr="00773152">
        <w:rPr>
          <w:rFonts w:ascii="Times New Roman" w:hAnsi="Times New Roman" w:cs="Times New Roman"/>
          <w:sz w:val="24"/>
          <w:szCs w:val="24"/>
        </w:rPr>
        <w:t xml:space="preserve">’s name </w:t>
      </w:r>
      <w:r w:rsidR="000B7A77" w:rsidRPr="00773152">
        <w:rPr>
          <w:rFonts w:ascii="Times New Roman" w:hAnsi="Times New Roman" w:cs="Times New Roman"/>
          <w:sz w:val="24"/>
          <w:szCs w:val="24"/>
        </w:rPr>
        <w:t xml:space="preserve">would </w:t>
      </w:r>
      <w:r w:rsidR="000B7A77" w:rsidRPr="00220989">
        <w:rPr>
          <w:rFonts w:ascii="Times New Roman" w:hAnsi="Times New Roman" w:cs="Times New Roman"/>
          <w:sz w:val="24"/>
          <w:szCs w:val="24"/>
        </w:rPr>
        <w:t xml:space="preserve">create a disincentive </w:t>
      </w:r>
      <w:r w:rsidR="00902E25" w:rsidRPr="00220989">
        <w:rPr>
          <w:rFonts w:ascii="Times New Roman" w:hAnsi="Times New Roman" w:cs="Times New Roman"/>
          <w:sz w:val="24"/>
          <w:szCs w:val="24"/>
        </w:rPr>
        <w:t>for some donations</w:t>
      </w:r>
      <w:r w:rsidR="008E0E0B" w:rsidRPr="00220989">
        <w:rPr>
          <w:rFonts w:ascii="Times New Roman" w:hAnsi="Times New Roman" w:cs="Times New Roman"/>
          <w:sz w:val="24"/>
          <w:szCs w:val="24"/>
        </w:rPr>
        <w:t xml:space="preserve">.  </w:t>
      </w:r>
      <w:r w:rsidR="003A4DEE" w:rsidRPr="00220989">
        <w:rPr>
          <w:rFonts w:ascii="Times New Roman" w:hAnsi="Times New Roman" w:cs="Times New Roman"/>
          <w:sz w:val="24"/>
          <w:szCs w:val="24"/>
        </w:rPr>
        <w:t xml:space="preserve">Other commenters noted that sometimes it is </w:t>
      </w:r>
      <w:r w:rsidR="00033A27" w:rsidRPr="00220989">
        <w:rPr>
          <w:rFonts w:ascii="Times New Roman" w:hAnsi="Times New Roman" w:cs="Times New Roman"/>
          <w:sz w:val="24"/>
          <w:szCs w:val="24"/>
        </w:rPr>
        <w:t xml:space="preserve">nearly impossible for an </w:t>
      </w:r>
      <w:r w:rsidR="002B107B" w:rsidRPr="00220989">
        <w:rPr>
          <w:rFonts w:ascii="Times New Roman" w:hAnsi="Times New Roman" w:cs="Times New Roman"/>
          <w:sz w:val="24"/>
          <w:szCs w:val="24"/>
        </w:rPr>
        <w:t>institution</w:t>
      </w:r>
      <w:r w:rsidR="00033A27" w:rsidRPr="00220989">
        <w:rPr>
          <w:rFonts w:ascii="Times New Roman" w:hAnsi="Times New Roman" w:cs="Times New Roman"/>
          <w:sz w:val="24"/>
          <w:szCs w:val="24"/>
        </w:rPr>
        <w:t xml:space="preserve"> to </w:t>
      </w:r>
      <w:r w:rsidR="009351E1" w:rsidRPr="00220989">
        <w:rPr>
          <w:rFonts w:ascii="Times New Roman" w:hAnsi="Times New Roman" w:cs="Times New Roman"/>
          <w:sz w:val="24"/>
          <w:szCs w:val="24"/>
        </w:rPr>
        <w:t xml:space="preserve">obtain the name or address of an anonymous </w:t>
      </w:r>
      <w:r w:rsidR="006C617B" w:rsidRPr="00220989">
        <w:rPr>
          <w:rFonts w:ascii="Times New Roman" w:hAnsi="Times New Roman" w:cs="Times New Roman"/>
          <w:sz w:val="24"/>
          <w:szCs w:val="24"/>
        </w:rPr>
        <w:t>party</w:t>
      </w:r>
      <w:r w:rsidR="009351E1" w:rsidRPr="00220989">
        <w:rPr>
          <w:rFonts w:ascii="Times New Roman" w:hAnsi="Times New Roman" w:cs="Times New Roman"/>
          <w:sz w:val="24"/>
          <w:szCs w:val="24"/>
        </w:rPr>
        <w:t xml:space="preserve">.  </w:t>
      </w:r>
      <w:r w:rsidR="00A56B05" w:rsidRPr="00220989">
        <w:rPr>
          <w:rFonts w:ascii="Times New Roman" w:hAnsi="Times New Roman" w:cs="Times New Roman"/>
          <w:sz w:val="24"/>
          <w:szCs w:val="24"/>
        </w:rPr>
        <w:t xml:space="preserve">  </w:t>
      </w:r>
      <w:r w:rsidR="00541B82" w:rsidRPr="00220989">
        <w:rPr>
          <w:rFonts w:ascii="Times New Roman" w:hAnsi="Times New Roman" w:cs="Times New Roman"/>
          <w:sz w:val="24"/>
          <w:szCs w:val="24"/>
        </w:rPr>
        <w:t xml:space="preserve"> </w:t>
      </w:r>
      <w:r w:rsidRPr="00220989">
        <w:rPr>
          <w:rFonts w:ascii="Times New Roman" w:hAnsi="Times New Roman" w:cs="Times New Roman"/>
          <w:sz w:val="24"/>
          <w:szCs w:val="24"/>
        </w:rPr>
        <w:t xml:space="preserve">  </w:t>
      </w:r>
    </w:p>
    <w:p w14:paraId="3F89CA4B" w14:textId="7D152AD3" w:rsidR="00AF293A" w:rsidRPr="00220989" w:rsidRDefault="00AF293A" w:rsidP="00AF293A">
      <w:pPr>
        <w:autoSpaceDE w:val="0"/>
        <w:autoSpaceDN w:val="0"/>
        <w:adjustRightInd w:val="0"/>
        <w:spacing w:after="0" w:line="240" w:lineRule="auto"/>
        <w:rPr>
          <w:rFonts w:ascii="Times New Roman" w:hAnsi="Times New Roman" w:cs="Times New Roman"/>
          <w:sz w:val="24"/>
          <w:szCs w:val="24"/>
        </w:rPr>
      </w:pPr>
    </w:p>
    <w:p w14:paraId="0E98FCB4" w14:textId="5D55EB81" w:rsidR="00240C48" w:rsidRPr="00220989" w:rsidRDefault="00737F11" w:rsidP="0093567B">
      <w:pPr>
        <w:spacing w:after="0" w:line="240" w:lineRule="auto"/>
        <w:rPr>
          <w:rFonts w:ascii="Times New Roman" w:hAnsi="Times New Roman"/>
          <w:color w:val="000000" w:themeColor="text1"/>
          <w:sz w:val="24"/>
        </w:rPr>
      </w:pPr>
      <w:r w:rsidRPr="00220989">
        <w:rPr>
          <w:rFonts w:ascii="Times New Roman" w:hAnsi="Times New Roman" w:cs="Times New Roman"/>
          <w:b/>
          <w:sz w:val="24"/>
          <w:szCs w:val="24"/>
        </w:rPr>
        <w:t>Response</w:t>
      </w:r>
      <w:r w:rsidRPr="00220989">
        <w:rPr>
          <w:rFonts w:ascii="Times New Roman" w:hAnsi="Times New Roman" w:cs="Times New Roman"/>
          <w:sz w:val="24"/>
          <w:szCs w:val="24"/>
        </w:rPr>
        <w:t xml:space="preserve">: </w:t>
      </w:r>
      <w:r w:rsidR="00BB72B2">
        <w:rPr>
          <w:rFonts w:ascii="Times New Roman" w:hAnsi="Times New Roman" w:cs="Times New Roman"/>
          <w:sz w:val="24"/>
          <w:szCs w:val="24"/>
        </w:rPr>
        <w:t>T</w:t>
      </w:r>
      <w:r w:rsidR="00B402A7" w:rsidRPr="00220989">
        <w:rPr>
          <w:rFonts w:ascii="Times New Roman" w:hAnsi="Times New Roman" w:cs="Times New Roman"/>
          <w:sz w:val="24"/>
          <w:szCs w:val="24"/>
        </w:rPr>
        <w:t xml:space="preserve">he Department </w:t>
      </w:r>
      <w:r w:rsidR="00BB72B2">
        <w:rPr>
          <w:rFonts w:ascii="Times New Roman" w:hAnsi="Times New Roman" w:cs="Times New Roman"/>
          <w:sz w:val="24"/>
          <w:szCs w:val="24"/>
        </w:rPr>
        <w:t xml:space="preserve">believes it requires </w:t>
      </w:r>
      <w:r w:rsidR="00B402A7" w:rsidRPr="00220989">
        <w:rPr>
          <w:rFonts w:ascii="Times New Roman" w:hAnsi="Times New Roman" w:cs="Times New Roman"/>
          <w:sz w:val="24"/>
          <w:szCs w:val="24"/>
        </w:rPr>
        <w:t>the name and address of foreign sources</w:t>
      </w:r>
      <w:r w:rsidR="0059714C" w:rsidRPr="00220989">
        <w:rPr>
          <w:rFonts w:ascii="Times New Roman" w:hAnsi="Times New Roman" w:cs="Times New Roman"/>
          <w:sz w:val="24"/>
          <w:szCs w:val="24"/>
        </w:rPr>
        <w:t xml:space="preserve"> to </w:t>
      </w:r>
      <w:r w:rsidR="00BB72B2">
        <w:rPr>
          <w:rFonts w:ascii="Times New Roman" w:hAnsi="Times New Roman" w:cs="Times New Roman"/>
          <w:sz w:val="24"/>
          <w:szCs w:val="24"/>
        </w:rPr>
        <w:t xml:space="preserve">verify an institution’s </w:t>
      </w:r>
      <w:r w:rsidR="0059714C" w:rsidRPr="00220989">
        <w:rPr>
          <w:rFonts w:ascii="Times New Roman" w:hAnsi="Times New Roman" w:cs="Times New Roman"/>
          <w:sz w:val="24"/>
          <w:szCs w:val="24"/>
        </w:rPr>
        <w:t xml:space="preserve">compliance with </w:t>
      </w:r>
      <w:r w:rsidR="004C42A4" w:rsidRPr="00220989">
        <w:rPr>
          <w:rFonts w:ascii="Times New Roman" w:hAnsi="Times New Roman" w:cs="Times New Roman"/>
          <w:sz w:val="24"/>
          <w:szCs w:val="24"/>
        </w:rPr>
        <w:t>Section 117</w:t>
      </w:r>
      <w:r w:rsidR="00C91594" w:rsidRPr="00220989">
        <w:rPr>
          <w:rFonts w:ascii="Times New Roman" w:hAnsi="Times New Roman" w:cs="Times New Roman"/>
          <w:sz w:val="24"/>
          <w:szCs w:val="24"/>
        </w:rPr>
        <w:t xml:space="preserve"> </w:t>
      </w:r>
      <w:r w:rsidR="00B53B7B" w:rsidRPr="00220989">
        <w:rPr>
          <w:rFonts w:ascii="Times New Roman" w:hAnsi="Times New Roman" w:cs="Times New Roman"/>
          <w:sz w:val="24"/>
          <w:szCs w:val="24"/>
        </w:rPr>
        <w:t xml:space="preserve">and the statute does not carve out an exception for </w:t>
      </w:r>
      <w:r w:rsidR="002B107B" w:rsidRPr="00220989">
        <w:rPr>
          <w:rFonts w:ascii="Times New Roman" w:hAnsi="Times New Roman" w:cs="Times New Roman"/>
          <w:sz w:val="24"/>
          <w:szCs w:val="24"/>
        </w:rPr>
        <w:t>institution</w:t>
      </w:r>
      <w:r w:rsidR="00B53B7B" w:rsidRPr="00220989">
        <w:rPr>
          <w:rFonts w:ascii="Times New Roman" w:hAnsi="Times New Roman" w:cs="Times New Roman"/>
          <w:sz w:val="24"/>
          <w:szCs w:val="24"/>
        </w:rPr>
        <w:t xml:space="preserve">s to withhold the name </w:t>
      </w:r>
      <w:r w:rsidR="00DF1565" w:rsidRPr="00220989">
        <w:rPr>
          <w:rFonts w:ascii="Times New Roman" w:hAnsi="Times New Roman" w:cs="Times New Roman"/>
          <w:sz w:val="24"/>
          <w:szCs w:val="24"/>
        </w:rPr>
        <w:t xml:space="preserve">or address </w:t>
      </w:r>
      <w:r w:rsidR="00B53B7B" w:rsidRPr="00220989">
        <w:rPr>
          <w:rFonts w:ascii="Times New Roman" w:hAnsi="Times New Roman" w:cs="Times New Roman"/>
          <w:sz w:val="24"/>
          <w:szCs w:val="24"/>
        </w:rPr>
        <w:t xml:space="preserve">of an anonymous </w:t>
      </w:r>
      <w:r w:rsidR="006C617B" w:rsidRPr="00220989">
        <w:rPr>
          <w:rFonts w:ascii="Times New Roman" w:hAnsi="Times New Roman" w:cs="Times New Roman"/>
          <w:sz w:val="24"/>
          <w:szCs w:val="24"/>
        </w:rPr>
        <w:t>party</w:t>
      </w:r>
      <w:r w:rsidR="00B53B7B" w:rsidRPr="00220989">
        <w:rPr>
          <w:rFonts w:ascii="Times New Roman" w:hAnsi="Times New Roman" w:cs="Times New Roman"/>
          <w:sz w:val="24"/>
          <w:szCs w:val="24"/>
        </w:rPr>
        <w:t>.</w:t>
      </w:r>
      <w:r w:rsidR="00DD42CC" w:rsidRPr="00220989">
        <w:rPr>
          <w:rFonts w:ascii="Times New Roman" w:hAnsi="Times New Roman" w:cs="Times New Roman"/>
          <w:sz w:val="24"/>
          <w:szCs w:val="24"/>
        </w:rPr>
        <w:t xml:space="preserve"> </w:t>
      </w:r>
      <w:r w:rsidR="003D5D9C" w:rsidRPr="00220989">
        <w:rPr>
          <w:rFonts w:ascii="Times New Roman" w:hAnsi="Times New Roman" w:cs="Times New Roman"/>
          <w:sz w:val="24"/>
          <w:szCs w:val="24"/>
        </w:rPr>
        <w:t xml:space="preserve"> </w:t>
      </w:r>
      <w:r w:rsidR="00835C07" w:rsidRPr="00220989">
        <w:rPr>
          <w:rFonts w:ascii="Times New Roman" w:hAnsi="Times New Roman" w:cs="Times New Roman"/>
          <w:sz w:val="24"/>
          <w:szCs w:val="24"/>
        </w:rPr>
        <w:t xml:space="preserve">However, the Department will not make the name and address </w:t>
      </w:r>
      <w:r w:rsidR="005C35AC" w:rsidRPr="00220989">
        <w:rPr>
          <w:rFonts w:ascii="Times New Roman" w:hAnsi="Times New Roman" w:cs="Times New Roman"/>
          <w:sz w:val="24"/>
          <w:szCs w:val="24"/>
        </w:rPr>
        <w:t xml:space="preserve">part of the </w:t>
      </w:r>
      <w:r w:rsidR="00BB72B2">
        <w:rPr>
          <w:rFonts w:ascii="Times New Roman" w:hAnsi="Times New Roman" w:cs="Times New Roman"/>
          <w:sz w:val="24"/>
          <w:szCs w:val="24"/>
        </w:rPr>
        <w:t xml:space="preserve">publicly available </w:t>
      </w:r>
      <w:r w:rsidR="005C35AC" w:rsidRPr="00220989">
        <w:rPr>
          <w:rFonts w:ascii="Times New Roman" w:hAnsi="Times New Roman" w:cs="Times New Roman"/>
          <w:sz w:val="24"/>
          <w:szCs w:val="24"/>
        </w:rPr>
        <w:t>disclosure report.</w:t>
      </w:r>
      <w:r w:rsidR="001A6CE7" w:rsidRPr="00220989">
        <w:rPr>
          <w:rFonts w:ascii="Times New Roman" w:hAnsi="Times New Roman" w:cs="Times New Roman"/>
          <w:sz w:val="24"/>
          <w:szCs w:val="24"/>
        </w:rPr>
        <w:t xml:space="preserve">  </w:t>
      </w:r>
      <w:r w:rsidR="00F12859" w:rsidRPr="00220989">
        <w:rPr>
          <w:rFonts w:ascii="Times New Roman" w:hAnsi="Times New Roman" w:cs="Times New Roman"/>
          <w:sz w:val="24"/>
          <w:szCs w:val="24"/>
        </w:rPr>
        <w:t xml:space="preserve"> </w:t>
      </w:r>
      <w:bookmarkStart w:id="10" w:name="_Hlk26535830"/>
      <w:r w:rsidR="00A03A04" w:rsidRPr="00220989">
        <w:rPr>
          <w:rFonts w:ascii="Times New Roman" w:hAnsi="Times New Roman" w:cs="Times New Roman"/>
          <w:sz w:val="24"/>
          <w:szCs w:val="24"/>
        </w:rPr>
        <w:t xml:space="preserve">As </w:t>
      </w:r>
      <w:r w:rsidR="002454F9" w:rsidRPr="00220989">
        <w:rPr>
          <w:rFonts w:ascii="Times New Roman" w:hAnsi="Times New Roman" w:cs="Times New Roman"/>
          <w:sz w:val="24"/>
          <w:szCs w:val="24"/>
        </w:rPr>
        <w:t xml:space="preserve">for anonymous </w:t>
      </w:r>
      <w:r w:rsidR="0003744D" w:rsidRPr="00220989">
        <w:rPr>
          <w:rFonts w:ascii="Times New Roman" w:hAnsi="Times New Roman" w:cs="Times New Roman"/>
          <w:sz w:val="24"/>
          <w:szCs w:val="24"/>
        </w:rPr>
        <w:t xml:space="preserve">parties </w:t>
      </w:r>
      <w:r w:rsidR="00A03A04" w:rsidRPr="00220989">
        <w:rPr>
          <w:rFonts w:ascii="Times New Roman" w:hAnsi="Times New Roman" w:cs="Times New Roman"/>
          <w:sz w:val="24"/>
          <w:szCs w:val="24"/>
        </w:rPr>
        <w:t>to a</w:t>
      </w:r>
      <w:r w:rsidR="00B53B7B" w:rsidRPr="00220989">
        <w:rPr>
          <w:rFonts w:ascii="Times New Roman" w:hAnsi="Times New Roman" w:cs="Times New Roman"/>
          <w:sz w:val="24"/>
          <w:szCs w:val="24"/>
        </w:rPr>
        <w:t xml:space="preserve"> </w:t>
      </w:r>
      <w:r w:rsidR="00A03A04" w:rsidRPr="00220989">
        <w:rPr>
          <w:rFonts w:ascii="Times New Roman" w:hAnsi="Times New Roman" w:cs="Times New Roman"/>
          <w:sz w:val="24"/>
          <w:szCs w:val="24"/>
        </w:rPr>
        <w:t xml:space="preserve">transaction </w:t>
      </w:r>
      <w:r w:rsidR="00A03A04" w:rsidRPr="00220989">
        <w:rPr>
          <w:rFonts w:ascii="Times New Roman" w:eastAsia="Times New Roman" w:hAnsi="Times New Roman" w:cs="Times New Roman"/>
          <w:sz w:val="24"/>
          <w:szCs w:val="24"/>
        </w:rPr>
        <w:t xml:space="preserve">reported </w:t>
      </w:r>
      <w:r w:rsidR="009C0608" w:rsidRPr="00220989">
        <w:rPr>
          <w:rFonts w:ascii="Times New Roman" w:eastAsia="Times New Roman" w:hAnsi="Times New Roman" w:cs="Times New Roman"/>
          <w:sz w:val="24"/>
          <w:szCs w:val="24"/>
        </w:rPr>
        <w:t>pursuant to</w:t>
      </w:r>
      <w:r w:rsidR="00F12683" w:rsidRPr="00220989">
        <w:rPr>
          <w:rFonts w:ascii="Times New Roman" w:eastAsia="Times New Roman" w:hAnsi="Times New Roman" w:cs="Times New Roman"/>
          <w:sz w:val="24"/>
          <w:szCs w:val="24"/>
        </w:rPr>
        <w:t xml:space="preserve"> </w:t>
      </w:r>
      <w:r w:rsidR="00240C48" w:rsidRPr="00220989">
        <w:rPr>
          <w:rFonts w:ascii="Times New Roman" w:eastAsia="Times New Roman" w:hAnsi="Times New Roman" w:cs="Times New Roman"/>
          <w:sz w:val="24"/>
          <w:szCs w:val="24"/>
        </w:rPr>
        <w:t>20 U.S.C. 1011f</w:t>
      </w:r>
      <w:r w:rsidR="00E4042F" w:rsidRPr="00220989">
        <w:rPr>
          <w:rFonts w:ascii="Times New Roman" w:eastAsia="Times New Roman" w:hAnsi="Times New Roman" w:cs="Times New Roman"/>
          <w:sz w:val="24"/>
          <w:szCs w:val="24"/>
        </w:rPr>
        <w:t>, their names and addresses</w:t>
      </w:r>
      <w:r w:rsidR="00F12683" w:rsidRPr="00220989">
        <w:rPr>
          <w:rFonts w:ascii="Times New Roman" w:eastAsia="Times New Roman" w:hAnsi="Times New Roman" w:cs="Times New Roman"/>
          <w:sz w:val="24"/>
          <w:szCs w:val="24"/>
        </w:rPr>
        <w:t xml:space="preserve"> must be </w:t>
      </w:r>
      <w:r w:rsidR="00B53B7B" w:rsidRPr="00220989">
        <w:rPr>
          <w:rFonts w:ascii="Times New Roman" w:eastAsia="Times New Roman" w:hAnsi="Times New Roman" w:cs="Times New Roman"/>
          <w:sz w:val="24"/>
          <w:szCs w:val="24"/>
        </w:rPr>
        <w:t>shared with</w:t>
      </w:r>
      <w:r w:rsidR="002B3CAE" w:rsidRPr="00220989">
        <w:rPr>
          <w:rFonts w:ascii="Times New Roman" w:eastAsia="Times New Roman" w:hAnsi="Times New Roman" w:cs="Times New Roman"/>
          <w:sz w:val="24"/>
          <w:szCs w:val="24"/>
        </w:rPr>
        <w:t xml:space="preserve"> the Department</w:t>
      </w:r>
      <w:r w:rsidR="00F12683" w:rsidRPr="00220989">
        <w:rPr>
          <w:rFonts w:ascii="Times New Roman" w:eastAsia="Times New Roman" w:hAnsi="Times New Roman" w:cs="Times New Roman"/>
          <w:sz w:val="24"/>
          <w:szCs w:val="24"/>
        </w:rPr>
        <w:t xml:space="preserve"> to the extent that the </w:t>
      </w:r>
      <w:r w:rsidR="00282C1D" w:rsidRPr="00220989">
        <w:rPr>
          <w:rFonts w:ascii="Times New Roman" w:eastAsia="Times New Roman" w:hAnsi="Times New Roman" w:cs="Times New Roman"/>
          <w:sz w:val="24"/>
          <w:szCs w:val="24"/>
        </w:rPr>
        <w:t>institution</w:t>
      </w:r>
      <w:r w:rsidR="00F12683" w:rsidRPr="00220989">
        <w:rPr>
          <w:rFonts w:ascii="Times New Roman" w:eastAsia="Times New Roman" w:hAnsi="Times New Roman" w:cs="Times New Roman"/>
          <w:sz w:val="24"/>
          <w:szCs w:val="24"/>
        </w:rPr>
        <w:t xml:space="preserve"> has or could reasonably obtain the </w:t>
      </w:r>
      <w:r w:rsidR="00240C48" w:rsidRPr="00220989">
        <w:rPr>
          <w:rFonts w:ascii="Times New Roman" w:eastAsia="Times New Roman" w:hAnsi="Times New Roman" w:cs="Times New Roman"/>
          <w:sz w:val="24"/>
          <w:szCs w:val="24"/>
        </w:rPr>
        <w:t xml:space="preserve">donor’s </w:t>
      </w:r>
      <w:r w:rsidR="00F12683" w:rsidRPr="00220989">
        <w:rPr>
          <w:rFonts w:ascii="Times New Roman" w:eastAsia="Times New Roman" w:hAnsi="Times New Roman" w:cs="Times New Roman"/>
          <w:sz w:val="24"/>
          <w:szCs w:val="24"/>
        </w:rPr>
        <w:t>identity.</w:t>
      </w:r>
      <w:bookmarkEnd w:id="10"/>
      <w:r w:rsidR="00F12683" w:rsidRPr="00220989">
        <w:rPr>
          <w:rFonts w:ascii="Times New Roman" w:eastAsia="Times New Roman" w:hAnsi="Times New Roman" w:cs="Times New Roman"/>
          <w:sz w:val="24"/>
          <w:szCs w:val="24"/>
        </w:rPr>
        <w:t xml:space="preserve">  </w:t>
      </w:r>
      <w:r w:rsidR="00A705F2" w:rsidRPr="00220989">
        <w:rPr>
          <w:rFonts w:ascii="Times New Roman" w:eastAsia="Times New Roman" w:hAnsi="Times New Roman" w:cs="Times New Roman"/>
          <w:sz w:val="24"/>
          <w:szCs w:val="24"/>
        </w:rPr>
        <w:t xml:space="preserve">However, </w:t>
      </w:r>
      <w:r w:rsidR="00E97D0E" w:rsidRPr="00220989">
        <w:rPr>
          <w:rFonts w:ascii="Times New Roman" w:eastAsia="Times New Roman" w:hAnsi="Times New Roman" w:cs="Times New Roman"/>
          <w:sz w:val="24"/>
          <w:szCs w:val="24"/>
        </w:rPr>
        <w:t xml:space="preserve">in all instances, including </w:t>
      </w:r>
      <w:r w:rsidR="00836DC0" w:rsidRPr="00220989">
        <w:rPr>
          <w:rFonts w:ascii="Times New Roman" w:eastAsia="Times New Roman" w:hAnsi="Times New Roman" w:cs="Times New Roman"/>
          <w:sz w:val="24"/>
          <w:szCs w:val="24"/>
        </w:rPr>
        <w:t xml:space="preserve">gifts and contracts involving anonymous parties, </w:t>
      </w:r>
      <w:r w:rsidR="00A705F2" w:rsidRPr="00220989">
        <w:rPr>
          <w:rFonts w:ascii="Times New Roman" w:eastAsia="Times New Roman" w:hAnsi="Times New Roman" w:cs="Times New Roman"/>
          <w:sz w:val="24"/>
          <w:szCs w:val="24"/>
        </w:rPr>
        <w:t>t</w:t>
      </w:r>
      <w:r w:rsidR="002B3CAE" w:rsidRPr="00220989">
        <w:rPr>
          <w:rFonts w:ascii="Times New Roman" w:eastAsia="Times New Roman" w:hAnsi="Times New Roman" w:cs="Times New Roman"/>
          <w:sz w:val="24"/>
          <w:szCs w:val="24"/>
        </w:rPr>
        <w:t>he Department will</w:t>
      </w:r>
      <w:r w:rsidR="0042569E" w:rsidRPr="00220989">
        <w:rPr>
          <w:rFonts w:ascii="Times New Roman" w:eastAsia="Times New Roman" w:hAnsi="Times New Roman" w:cs="Times New Roman"/>
          <w:sz w:val="24"/>
          <w:szCs w:val="24"/>
        </w:rPr>
        <w:t xml:space="preserve"> </w:t>
      </w:r>
      <w:r w:rsidR="00A5417D" w:rsidRPr="00220989">
        <w:rPr>
          <w:rFonts w:ascii="Times New Roman" w:eastAsia="Times New Roman" w:hAnsi="Times New Roman" w:cs="Times New Roman"/>
          <w:sz w:val="24"/>
          <w:szCs w:val="24"/>
        </w:rPr>
        <w:t xml:space="preserve">withhold a </w:t>
      </w:r>
      <w:r w:rsidR="006C617B" w:rsidRPr="00220989">
        <w:rPr>
          <w:rFonts w:ascii="Times New Roman" w:eastAsia="Times New Roman" w:hAnsi="Times New Roman" w:cs="Times New Roman"/>
          <w:sz w:val="24"/>
          <w:szCs w:val="24"/>
        </w:rPr>
        <w:t>party</w:t>
      </w:r>
      <w:r w:rsidR="00A5417D" w:rsidRPr="00220989">
        <w:rPr>
          <w:rFonts w:ascii="Times New Roman" w:eastAsia="Times New Roman" w:hAnsi="Times New Roman" w:cs="Times New Roman"/>
          <w:sz w:val="24"/>
          <w:szCs w:val="24"/>
        </w:rPr>
        <w:t>’s name and address (excepting country)</w:t>
      </w:r>
      <w:r w:rsidR="00DB21E8" w:rsidRPr="00220989">
        <w:rPr>
          <w:rFonts w:ascii="Times New Roman" w:eastAsia="Times New Roman" w:hAnsi="Times New Roman" w:cs="Times New Roman"/>
          <w:sz w:val="24"/>
          <w:szCs w:val="24"/>
        </w:rPr>
        <w:t xml:space="preserve"> from becoming </w:t>
      </w:r>
      <w:r w:rsidR="00483FD5" w:rsidRPr="00220989">
        <w:rPr>
          <w:rFonts w:ascii="Times New Roman" w:eastAsia="Times New Roman" w:hAnsi="Times New Roman" w:cs="Times New Roman"/>
          <w:sz w:val="24"/>
          <w:szCs w:val="24"/>
        </w:rPr>
        <w:t xml:space="preserve">part of the </w:t>
      </w:r>
      <w:r w:rsidR="00DB21E8" w:rsidRPr="00220989">
        <w:rPr>
          <w:rFonts w:ascii="Times New Roman" w:eastAsia="Times New Roman" w:hAnsi="Times New Roman" w:cs="Times New Roman"/>
          <w:sz w:val="24"/>
          <w:szCs w:val="24"/>
        </w:rPr>
        <w:t xml:space="preserve">public </w:t>
      </w:r>
      <w:r w:rsidR="00483FD5" w:rsidRPr="00220989">
        <w:rPr>
          <w:rFonts w:ascii="Times New Roman" w:eastAsia="Times New Roman" w:hAnsi="Times New Roman" w:cs="Times New Roman"/>
          <w:sz w:val="24"/>
          <w:szCs w:val="24"/>
        </w:rPr>
        <w:t>disclosure report</w:t>
      </w:r>
      <w:r w:rsidR="00A5417D" w:rsidRPr="00220989">
        <w:rPr>
          <w:rFonts w:ascii="Times New Roman" w:eastAsia="Times New Roman" w:hAnsi="Times New Roman" w:cs="Times New Roman"/>
          <w:sz w:val="24"/>
          <w:szCs w:val="24"/>
        </w:rPr>
        <w:t>.</w:t>
      </w:r>
      <w:r w:rsidR="002B3CAE" w:rsidRPr="00220989">
        <w:rPr>
          <w:rFonts w:ascii="Times New Roman" w:eastAsia="Times New Roman" w:hAnsi="Times New Roman" w:cs="Times New Roman"/>
          <w:sz w:val="24"/>
          <w:szCs w:val="24"/>
        </w:rPr>
        <w:t xml:space="preserve"> </w:t>
      </w:r>
      <w:r w:rsidR="00A5417D" w:rsidRPr="00220989">
        <w:rPr>
          <w:rFonts w:ascii="Times New Roman" w:eastAsia="Times New Roman" w:hAnsi="Times New Roman" w:cs="Times New Roman"/>
          <w:sz w:val="24"/>
          <w:szCs w:val="24"/>
        </w:rPr>
        <w:t xml:space="preserve"> </w:t>
      </w:r>
      <w:bookmarkEnd w:id="9"/>
    </w:p>
    <w:p w14:paraId="54A0FE7A" w14:textId="70D31503" w:rsidR="00F12683" w:rsidRPr="00220989" w:rsidRDefault="00F12683" w:rsidP="00240C48">
      <w:pPr>
        <w:autoSpaceDE w:val="0"/>
        <w:autoSpaceDN w:val="0"/>
        <w:adjustRightInd w:val="0"/>
        <w:spacing w:after="0" w:line="240" w:lineRule="auto"/>
        <w:rPr>
          <w:rFonts w:ascii="Times New Roman" w:eastAsia="Times New Roman" w:hAnsi="Times New Roman" w:cs="Times New Roman"/>
          <w:sz w:val="24"/>
          <w:szCs w:val="24"/>
        </w:rPr>
      </w:pPr>
    </w:p>
    <w:p w14:paraId="6CDA0454" w14:textId="3CE7281D" w:rsidR="00E750EC" w:rsidRPr="00220989" w:rsidRDefault="00E750EC" w:rsidP="00240C48">
      <w:pPr>
        <w:autoSpaceDE w:val="0"/>
        <w:autoSpaceDN w:val="0"/>
        <w:adjustRightInd w:val="0"/>
        <w:spacing w:after="0" w:line="240" w:lineRule="auto"/>
        <w:rPr>
          <w:rFonts w:ascii="Times New Roman" w:eastAsia="Times New Roman" w:hAnsi="Times New Roman" w:cs="Times New Roman"/>
          <w:sz w:val="24"/>
          <w:szCs w:val="24"/>
        </w:rPr>
      </w:pPr>
      <w:r w:rsidRPr="00220989">
        <w:rPr>
          <w:rFonts w:ascii="Times New Roman" w:eastAsia="Times New Roman" w:hAnsi="Times New Roman" w:cs="Times New Roman"/>
          <w:b/>
          <w:sz w:val="24"/>
          <w:szCs w:val="24"/>
        </w:rPr>
        <w:t>Changes</w:t>
      </w:r>
      <w:r w:rsidRPr="00220989">
        <w:rPr>
          <w:rFonts w:ascii="Times New Roman" w:eastAsia="Times New Roman" w:hAnsi="Times New Roman" w:cs="Times New Roman"/>
          <w:sz w:val="24"/>
          <w:szCs w:val="24"/>
        </w:rPr>
        <w:t xml:space="preserve">:  </w:t>
      </w:r>
      <w:r w:rsidR="0077498E" w:rsidRPr="00220989">
        <w:rPr>
          <w:rFonts w:ascii="Times New Roman" w:eastAsia="Times New Roman" w:hAnsi="Times New Roman" w:cs="Times New Roman"/>
          <w:sz w:val="24"/>
          <w:szCs w:val="24"/>
        </w:rPr>
        <w:t xml:space="preserve">The Department will continue to collect the names and addresses of parties involved in section 117 transactions; however, the Department will </w:t>
      </w:r>
      <w:r w:rsidR="00A7321D" w:rsidRPr="00220989">
        <w:rPr>
          <w:rFonts w:ascii="Times New Roman" w:eastAsia="Times New Roman" w:hAnsi="Times New Roman" w:cs="Times New Roman"/>
          <w:sz w:val="24"/>
          <w:szCs w:val="24"/>
        </w:rPr>
        <w:t xml:space="preserve">not make this information </w:t>
      </w:r>
      <w:r w:rsidR="00E71E20" w:rsidRPr="00220989">
        <w:rPr>
          <w:rFonts w:ascii="Times New Roman" w:eastAsia="Times New Roman" w:hAnsi="Times New Roman" w:cs="Times New Roman"/>
          <w:sz w:val="24"/>
          <w:szCs w:val="24"/>
        </w:rPr>
        <w:t>part of the public disclosure report</w:t>
      </w:r>
      <w:r w:rsidR="00F0777E" w:rsidRPr="00220989">
        <w:rPr>
          <w:rFonts w:ascii="Times New Roman" w:eastAsia="Times New Roman" w:hAnsi="Times New Roman" w:cs="Times New Roman"/>
          <w:sz w:val="24"/>
          <w:szCs w:val="24"/>
        </w:rPr>
        <w:t xml:space="preserve">.  </w:t>
      </w:r>
    </w:p>
    <w:p w14:paraId="073B5A21" w14:textId="77777777" w:rsidR="00F0777E" w:rsidRPr="00220989" w:rsidRDefault="00F0777E" w:rsidP="00240C48">
      <w:pPr>
        <w:autoSpaceDE w:val="0"/>
        <w:autoSpaceDN w:val="0"/>
        <w:adjustRightInd w:val="0"/>
        <w:spacing w:after="0" w:line="240" w:lineRule="auto"/>
        <w:rPr>
          <w:rFonts w:ascii="Times New Roman" w:hAnsi="Times New Roman" w:cs="Times New Roman"/>
          <w:sz w:val="24"/>
          <w:szCs w:val="24"/>
        </w:rPr>
      </w:pPr>
    </w:p>
    <w:p w14:paraId="635AE7F7" w14:textId="1FEAA8EA" w:rsidR="00F12683" w:rsidRPr="00220989" w:rsidRDefault="00F12683" w:rsidP="0043722F">
      <w:pPr>
        <w:rPr>
          <w:rFonts w:ascii="Times New Roman" w:eastAsia="Times New Roman" w:hAnsi="Times New Roman" w:cs="Times New Roman"/>
          <w:b/>
          <w:sz w:val="24"/>
          <w:szCs w:val="24"/>
        </w:rPr>
      </w:pPr>
      <w:r w:rsidRPr="00220989">
        <w:rPr>
          <w:rFonts w:ascii="Times New Roman" w:eastAsia="Times New Roman" w:hAnsi="Times New Roman" w:cs="Times New Roman"/>
          <w:b/>
          <w:sz w:val="24"/>
          <w:szCs w:val="24"/>
        </w:rPr>
        <w:t>Duration</w:t>
      </w:r>
    </w:p>
    <w:p w14:paraId="2AC2700B" w14:textId="1DF2B216" w:rsidR="00DC48BF" w:rsidRPr="008B2282" w:rsidRDefault="00DC48BF" w:rsidP="00AB7E94">
      <w:pPr>
        <w:autoSpaceDE w:val="0"/>
        <w:autoSpaceDN w:val="0"/>
        <w:adjustRightInd w:val="0"/>
        <w:spacing w:after="0" w:line="240" w:lineRule="auto"/>
        <w:rPr>
          <w:rFonts w:ascii="Times New Roman" w:eastAsia="Times New Roman" w:hAnsi="Times New Roman" w:cs="Times New Roman"/>
          <w:sz w:val="24"/>
          <w:szCs w:val="24"/>
        </w:rPr>
      </w:pPr>
      <w:r w:rsidRPr="0086169D">
        <w:rPr>
          <w:rFonts w:ascii="Times New Roman" w:eastAsia="Times New Roman" w:hAnsi="Times New Roman" w:cs="Times New Roman"/>
          <w:b/>
          <w:sz w:val="24"/>
          <w:szCs w:val="24"/>
        </w:rPr>
        <w:t>Comments</w:t>
      </w:r>
      <w:r w:rsidRPr="0086169D">
        <w:rPr>
          <w:rFonts w:ascii="Times New Roman" w:eastAsia="Times New Roman" w:hAnsi="Times New Roman" w:cs="Times New Roman"/>
          <w:sz w:val="24"/>
          <w:szCs w:val="24"/>
        </w:rPr>
        <w:t xml:space="preserve">:  </w:t>
      </w:r>
      <w:r w:rsidR="00B667DC" w:rsidRPr="00C34E1E">
        <w:rPr>
          <w:rFonts w:ascii="Times New Roman" w:eastAsia="Times New Roman" w:hAnsi="Times New Roman" w:cs="Times New Roman"/>
          <w:sz w:val="24"/>
          <w:szCs w:val="24"/>
        </w:rPr>
        <w:t xml:space="preserve">Some commenters </w:t>
      </w:r>
      <w:r w:rsidR="009124ED" w:rsidRPr="001F5204">
        <w:rPr>
          <w:rFonts w:ascii="Times New Roman" w:eastAsia="Times New Roman" w:hAnsi="Times New Roman" w:cs="Times New Roman"/>
          <w:sz w:val="24"/>
          <w:szCs w:val="24"/>
        </w:rPr>
        <w:t xml:space="preserve">noted that </w:t>
      </w:r>
      <w:r w:rsidR="00255A82" w:rsidRPr="000B0376">
        <w:rPr>
          <w:rFonts w:ascii="Times New Roman" w:eastAsia="Times New Roman" w:hAnsi="Times New Roman" w:cs="Times New Roman"/>
          <w:sz w:val="24"/>
          <w:szCs w:val="24"/>
        </w:rPr>
        <w:t xml:space="preserve">the disclosure form </w:t>
      </w:r>
      <w:r w:rsidR="0013799F" w:rsidRPr="008D43B6">
        <w:rPr>
          <w:rFonts w:ascii="Times New Roman" w:eastAsia="Times New Roman" w:hAnsi="Times New Roman" w:cs="Times New Roman"/>
          <w:sz w:val="24"/>
          <w:szCs w:val="24"/>
        </w:rPr>
        <w:t>asked for the “duration” of a gift or contract, rather than the “date”</w:t>
      </w:r>
      <w:r w:rsidR="00CD7EEE" w:rsidRPr="008D43B6">
        <w:rPr>
          <w:rFonts w:ascii="Times New Roman" w:eastAsia="Times New Roman" w:hAnsi="Times New Roman" w:cs="Times New Roman"/>
          <w:sz w:val="24"/>
          <w:szCs w:val="24"/>
        </w:rPr>
        <w:t xml:space="preserve"> and that this was inconsistent with the terminology </w:t>
      </w:r>
      <w:r w:rsidR="00914C49" w:rsidRPr="00CC4F26">
        <w:rPr>
          <w:rFonts w:ascii="Times New Roman" w:eastAsia="Times New Roman" w:hAnsi="Times New Roman" w:cs="Times New Roman"/>
          <w:sz w:val="24"/>
          <w:szCs w:val="24"/>
        </w:rPr>
        <w:t xml:space="preserve">used in 20 </w:t>
      </w:r>
      <w:r w:rsidR="00914C49" w:rsidRPr="008B2282">
        <w:rPr>
          <w:rFonts w:ascii="Times New Roman" w:eastAsia="Times New Roman" w:hAnsi="Times New Roman" w:cs="Times New Roman"/>
          <w:sz w:val="24"/>
          <w:szCs w:val="24"/>
        </w:rPr>
        <w:t xml:space="preserve">U.S.C. 1011f.  </w:t>
      </w:r>
      <w:r w:rsidR="0013799F" w:rsidRPr="008B2282">
        <w:rPr>
          <w:rFonts w:ascii="Times New Roman" w:eastAsia="Times New Roman" w:hAnsi="Times New Roman" w:cs="Times New Roman"/>
          <w:sz w:val="24"/>
          <w:szCs w:val="24"/>
        </w:rPr>
        <w:t xml:space="preserve">  </w:t>
      </w:r>
    </w:p>
    <w:p w14:paraId="02A6C3EC" w14:textId="77777777" w:rsidR="004C407A" w:rsidRPr="008B2282" w:rsidRDefault="004C407A" w:rsidP="00AB7E94">
      <w:pPr>
        <w:autoSpaceDE w:val="0"/>
        <w:autoSpaceDN w:val="0"/>
        <w:adjustRightInd w:val="0"/>
        <w:spacing w:after="0" w:line="240" w:lineRule="auto"/>
        <w:rPr>
          <w:rFonts w:ascii="Times New Roman" w:eastAsia="Times New Roman" w:hAnsi="Times New Roman" w:cs="Times New Roman"/>
          <w:b/>
          <w:sz w:val="24"/>
          <w:szCs w:val="24"/>
        </w:rPr>
      </w:pPr>
    </w:p>
    <w:p w14:paraId="524DCC29" w14:textId="2A2321A6" w:rsidR="00DC48BF" w:rsidRPr="008B2282" w:rsidRDefault="00DC48BF" w:rsidP="0043722F">
      <w:pPr>
        <w:rPr>
          <w:rFonts w:ascii="Times New Roman" w:eastAsia="Times New Roman" w:hAnsi="Times New Roman" w:cs="Times New Roman"/>
          <w:sz w:val="24"/>
          <w:szCs w:val="24"/>
        </w:rPr>
      </w:pPr>
      <w:r w:rsidRPr="008B2282">
        <w:rPr>
          <w:rFonts w:ascii="Times New Roman" w:eastAsia="Times New Roman" w:hAnsi="Times New Roman" w:cs="Times New Roman"/>
          <w:b/>
          <w:sz w:val="24"/>
          <w:szCs w:val="24"/>
        </w:rPr>
        <w:t>Response</w:t>
      </w:r>
      <w:r w:rsidRPr="008B2282">
        <w:rPr>
          <w:rFonts w:ascii="Times New Roman" w:eastAsia="Times New Roman" w:hAnsi="Times New Roman" w:cs="Times New Roman"/>
          <w:sz w:val="24"/>
          <w:szCs w:val="24"/>
        </w:rPr>
        <w:t xml:space="preserve">:  </w:t>
      </w:r>
      <w:r w:rsidR="0093567B">
        <w:rPr>
          <w:rFonts w:ascii="Times New Roman" w:eastAsia="Times New Roman" w:hAnsi="Times New Roman" w:cs="Times New Roman"/>
          <w:sz w:val="24"/>
          <w:szCs w:val="24"/>
        </w:rPr>
        <w:t>We have changed the</w:t>
      </w:r>
      <w:r w:rsidR="00DD42CC" w:rsidRPr="008B2282">
        <w:rPr>
          <w:rFonts w:ascii="Times New Roman" w:eastAsia="Times New Roman" w:hAnsi="Times New Roman" w:cs="Times New Roman"/>
          <w:sz w:val="24"/>
          <w:szCs w:val="24"/>
        </w:rPr>
        <w:t xml:space="preserve"> form</w:t>
      </w:r>
      <w:r w:rsidR="00BB72B2">
        <w:rPr>
          <w:rFonts w:ascii="Times New Roman" w:eastAsia="Times New Roman" w:hAnsi="Times New Roman" w:cs="Times New Roman"/>
          <w:sz w:val="24"/>
          <w:szCs w:val="24"/>
        </w:rPr>
        <w:t xml:space="preserve"> </w:t>
      </w:r>
      <w:r w:rsidR="00DD42CC" w:rsidRPr="008B2282">
        <w:rPr>
          <w:rFonts w:ascii="Times New Roman" w:eastAsia="Times New Roman" w:hAnsi="Times New Roman" w:cs="Times New Roman"/>
          <w:sz w:val="24"/>
          <w:szCs w:val="24"/>
        </w:rPr>
        <w:t xml:space="preserve">accordingly.  </w:t>
      </w:r>
    </w:p>
    <w:p w14:paraId="1D09F20D" w14:textId="22661C34" w:rsidR="00425894" w:rsidRPr="00773152" w:rsidRDefault="00425894" w:rsidP="0043722F">
      <w:pPr>
        <w:rPr>
          <w:rFonts w:ascii="Times New Roman" w:eastAsia="Times New Roman" w:hAnsi="Times New Roman" w:cs="Times New Roman"/>
          <w:sz w:val="24"/>
          <w:szCs w:val="24"/>
        </w:rPr>
      </w:pPr>
      <w:r w:rsidRPr="008B2282">
        <w:rPr>
          <w:rFonts w:ascii="Times New Roman" w:eastAsia="Times New Roman" w:hAnsi="Times New Roman" w:cs="Times New Roman"/>
          <w:b/>
          <w:sz w:val="24"/>
          <w:szCs w:val="24"/>
        </w:rPr>
        <w:t xml:space="preserve">Changes:  </w:t>
      </w:r>
      <w:r w:rsidR="00DD42CC" w:rsidRPr="008B2282">
        <w:rPr>
          <w:rFonts w:ascii="Times New Roman" w:eastAsia="Times New Roman" w:hAnsi="Times New Roman" w:cs="Times New Roman"/>
          <w:sz w:val="24"/>
          <w:szCs w:val="24"/>
        </w:rPr>
        <w:t>We have re</w:t>
      </w:r>
      <w:r w:rsidR="004130E3" w:rsidRPr="008B2282">
        <w:rPr>
          <w:rFonts w:ascii="Times New Roman" w:eastAsia="Times New Roman" w:hAnsi="Times New Roman" w:cs="Times New Roman"/>
          <w:sz w:val="24"/>
          <w:szCs w:val="24"/>
        </w:rPr>
        <w:t>placed</w:t>
      </w:r>
      <w:r w:rsidR="00DD42CC" w:rsidRPr="008B2282">
        <w:rPr>
          <w:rFonts w:ascii="Times New Roman" w:eastAsia="Times New Roman" w:hAnsi="Times New Roman" w:cs="Times New Roman"/>
          <w:sz w:val="24"/>
          <w:szCs w:val="24"/>
        </w:rPr>
        <w:t xml:space="preserve"> the term “duration” </w:t>
      </w:r>
      <w:r w:rsidR="004130E3" w:rsidRPr="008B2282">
        <w:rPr>
          <w:rFonts w:ascii="Times New Roman" w:eastAsia="Times New Roman" w:hAnsi="Times New Roman" w:cs="Times New Roman"/>
          <w:sz w:val="24"/>
          <w:szCs w:val="24"/>
        </w:rPr>
        <w:t xml:space="preserve">with references </w:t>
      </w:r>
      <w:r w:rsidR="00DD42CC" w:rsidRPr="008B2282">
        <w:rPr>
          <w:rFonts w:ascii="Times New Roman" w:eastAsia="Times New Roman" w:hAnsi="Times New Roman" w:cs="Times New Roman"/>
          <w:sz w:val="24"/>
          <w:szCs w:val="24"/>
        </w:rPr>
        <w:t>to “</w:t>
      </w:r>
      <w:r w:rsidR="004130E3" w:rsidRPr="008B2282">
        <w:rPr>
          <w:rFonts w:ascii="Times New Roman" w:eastAsia="Times New Roman" w:hAnsi="Times New Roman" w:cs="Times New Roman"/>
          <w:sz w:val="24"/>
          <w:szCs w:val="24"/>
        </w:rPr>
        <w:t>dates”</w:t>
      </w:r>
      <w:r w:rsidR="004130E3">
        <w:rPr>
          <w:rFonts w:ascii="Times New Roman" w:eastAsia="Times New Roman" w:hAnsi="Times New Roman" w:cs="Times New Roman"/>
          <w:sz w:val="24"/>
          <w:szCs w:val="24"/>
        </w:rPr>
        <w:t xml:space="preserve"> throughout the form.  </w:t>
      </w:r>
    </w:p>
    <w:p w14:paraId="0CD4F903" w14:textId="6DF06E6A" w:rsidR="00F12683" w:rsidRPr="00773152" w:rsidRDefault="0093042D" w:rsidP="004372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Tuition</w:t>
      </w:r>
    </w:p>
    <w:p w14:paraId="66194AC3" w14:textId="76D1EB01" w:rsidR="00400FD4" w:rsidRPr="00773152" w:rsidRDefault="00400FD4" w:rsidP="0043722F">
      <w:pPr>
        <w:rPr>
          <w:rFonts w:ascii="Times New Roman" w:eastAsia="Times New Roman" w:hAnsi="Times New Roman" w:cs="Times New Roman"/>
          <w:sz w:val="24"/>
          <w:szCs w:val="24"/>
        </w:rPr>
      </w:pPr>
      <w:r w:rsidRPr="00773152">
        <w:rPr>
          <w:rFonts w:ascii="Times New Roman" w:eastAsia="Times New Roman" w:hAnsi="Times New Roman" w:cs="Times New Roman"/>
          <w:b/>
          <w:sz w:val="24"/>
          <w:szCs w:val="24"/>
        </w:rPr>
        <w:t>Comments</w:t>
      </w:r>
      <w:r w:rsidRPr="00773152">
        <w:rPr>
          <w:rFonts w:ascii="Times New Roman" w:eastAsia="Times New Roman" w:hAnsi="Times New Roman" w:cs="Times New Roman"/>
          <w:sz w:val="24"/>
          <w:szCs w:val="24"/>
        </w:rPr>
        <w:t xml:space="preserve">:  </w:t>
      </w:r>
      <w:r w:rsidR="00856260" w:rsidRPr="00773152">
        <w:rPr>
          <w:rFonts w:ascii="Times New Roman" w:eastAsia="Times New Roman" w:hAnsi="Times New Roman" w:cs="Times New Roman"/>
          <w:sz w:val="24"/>
          <w:szCs w:val="24"/>
        </w:rPr>
        <w:t xml:space="preserve">Commenters </w:t>
      </w:r>
      <w:r w:rsidR="00EC1676" w:rsidRPr="00773152">
        <w:rPr>
          <w:rFonts w:ascii="Times New Roman" w:eastAsia="Times New Roman" w:hAnsi="Times New Roman" w:cs="Times New Roman"/>
          <w:sz w:val="24"/>
          <w:szCs w:val="24"/>
        </w:rPr>
        <w:t>noted that f</w:t>
      </w:r>
      <w:r w:rsidRPr="00773152">
        <w:rPr>
          <w:rFonts w:ascii="Times New Roman" w:hAnsi="Times New Roman" w:cs="Times New Roman"/>
          <w:sz w:val="24"/>
          <w:szCs w:val="24"/>
        </w:rPr>
        <w:t>oreign students currently pay tuition directly</w:t>
      </w:r>
      <w:r w:rsidR="00EC1676" w:rsidRPr="00773152">
        <w:rPr>
          <w:rFonts w:ascii="Times New Roman" w:hAnsi="Times New Roman" w:cs="Times New Roman"/>
          <w:sz w:val="24"/>
          <w:szCs w:val="24"/>
        </w:rPr>
        <w:t xml:space="preserve"> and</w:t>
      </w:r>
      <w:r w:rsidRPr="00773152">
        <w:rPr>
          <w:rFonts w:ascii="Times New Roman" w:hAnsi="Times New Roman" w:cs="Times New Roman"/>
          <w:sz w:val="24"/>
          <w:szCs w:val="24"/>
        </w:rPr>
        <w:t xml:space="preserve"> under some circumstances, the tuition is paid by other individuals, institutions or governments. </w:t>
      </w:r>
      <w:r w:rsidR="00EC1676" w:rsidRPr="00773152">
        <w:rPr>
          <w:rFonts w:ascii="Times New Roman" w:hAnsi="Times New Roman" w:cs="Times New Roman"/>
          <w:sz w:val="24"/>
          <w:szCs w:val="24"/>
        </w:rPr>
        <w:t xml:space="preserve"> These commenters requested clarification on</w:t>
      </w:r>
      <w:r w:rsidRPr="00773152">
        <w:rPr>
          <w:rFonts w:ascii="Times New Roman" w:hAnsi="Times New Roman" w:cs="Times New Roman"/>
          <w:sz w:val="24"/>
          <w:szCs w:val="24"/>
        </w:rPr>
        <w:t xml:space="preserve"> whether</w:t>
      </w:r>
      <w:r w:rsidR="00EC1676" w:rsidRPr="00773152">
        <w:rPr>
          <w:rFonts w:ascii="Times New Roman" w:hAnsi="Times New Roman" w:cs="Times New Roman"/>
          <w:sz w:val="24"/>
          <w:szCs w:val="24"/>
        </w:rPr>
        <w:t xml:space="preserve"> </w:t>
      </w:r>
      <w:r w:rsidR="002B107B">
        <w:rPr>
          <w:rFonts w:ascii="Times New Roman" w:hAnsi="Times New Roman" w:cs="Times New Roman"/>
          <w:sz w:val="24"/>
          <w:szCs w:val="24"/>
        </w:rPr>
        <w:t>institution</w:t>
      </w:r>
      <w:r w:rsidR="00EC1676" w:rsidRPr="00773152">
        <w:rPr>
          <w:rFonts w:ascii="Times New Roman" w:hAnsi="Times New Roman" w:cs="Times New Roman"/>
          <w:sz w:val="24"/>
          <w:szCs w:val="24"/>
        </w:rPr>
        <w:t>s must disclose</w:t>
      </w:r>
      <w:r w:rsidRPr="00773152">
        <w:rPr>
          <w:rFonts w:ascii="Times New Roman" w:hAnsi="Times New Roman" w:cs="Times New Roman"/>
          <w:sz w:val="24"/>
          <w:szCs w:val="24"/>
        </w:rPr>
        <w:t xml:space="preserve"> payments of tuition and fees.  </w:t>
      </w:r>
      <w:r w:rsidR="00F231EB">
        <w:rPr>
          <w:rFonts w:ascii="Times New Roman" w:hAnsi="Times New Roman" w:cs="Times New Roman"/>
          <w:sz w:val="24"/>
          <w:szCs w:val="24"/>
        </w:rPr>
        <w:t xml:space="preserve">Another commenter stated that FERPA and its implementing regulations prohibit disclosure by institutions of student tuition and other cost of attendance payments absent student consent.  </w:t>
      </w:r>
      <w:r w:rsidR="00F231EB" w:rsidRPr="00773152">
        <w:rPr>
          <w:rFonts w:ascii="Times New Roman" w:hAnsi="Times New Roman" w:cs="Times New Roman"/>
          <w:sz w:val="24"/>
          <w:szCs w:val="24"/>
        </w:rPr>
        <w:t xml:space="preserve"> </w:t>
      </w:r>
      <w:r w:rsidRPr="00773152">
        <w:rPr>
          <w:rFonts w:ascii="Times New Roman" w:hAnsi="Times New Roman" w:cs="Times New Roman"/>
          <w:sz w:val="24"/>
          <w:szCs w:val="24"/>
        </w:rPr>
        <w:t xml:space="preserve">  </w:t>
      </w:r>
    </w:p>
    <w:p w14:paraId="50625E19" w14:textId="44821693" w:rsidR="00F12683" w:rsidRPr="00773152" w:rsidRDefault="006B4BC4" w:rsidP="008A7AA2">
      <w:pPr>
        <w:autoSpaceDE w:val="0"/>
        <w:autoSpaceDN w:val="0"/>
        <w:rPr>
          <w:rFonts w:ascii="Times New Roman" w:eastAsia="Times New Roman" w:hAnsi="Times New Roman" w:cs="Times New Roman"/>
          <w:b/>
          <w:sz w:val="24"/>
          <w:szCs w:val="24"/>
        </w:rPr>
      </w:pPr>
      <w:r w:rsidRPr="00773152">
        <w:rPr>
          <w:rFonts w:ascii="Times New Roman" w:eastAsia="Times New Roman" w:hAnsi="Times New Roman" w:cs="Times New Roman"/>
          <w:b/>
          <w:sz w:val="24"/>
          <w:szCs w:val="24"/>
        </w:rPr>
        <w:t>Responses</w:t>
      </w:r>
      <w:r w:rsidRPr="00773152">
        <w:rPr>
          <w:rFonts w:ascii="Times New Roman" w:eastAsia="Times New Roman" w:hAnsi="Times New Roman" w:cs="Times New Roman"/>
          <w:sz w:val="24"/>
          <w:szCs w:val="24"/>
        </w:rPr>
        <w:t>:</w:t>
      </w:r>
      <w:r w:rsidR="00296694" w:rsidRPr="00773152">
        <w:rPr>
          <w:rFonts w:ascii="Times New Roman" w:eastAsia="Times New Roman" w:hAnsi="Times New Roman" w:cs="Times New Roman"/>
          <w:sz w:val="24"/>
          <w:szCs w:val="24"/>
        </w:rPr>
        <w:t xml:space="preserve">   </w:t>
      </w:r>
      <w:r w:rsidR="00020047">
        <w:rPr>
          <w:rFonts w:ascii="Times New Roman" w:eastAsia="Times New Roman" w:hAnsi="Times New Roman" w:cs="Times New Roman"/>
          <w:sz w:val="24"/>
          <w:szCs w:val="24"/>
          <w:lang w:val="en"/>
        </w:rPr>
        <w:t xml:space="preserve">We would generally consider </w:t>
      </w:r>
      <w:r w:rsidR="004B0AD9">
        <w:rPr>
          <w:rFonts w:ascii="Times New Roman" w:eastAsia="Times New Roman" w:hAnsi="Times New Roman" w:cs="Times New Roman"/>
          <w:sz w:val="24"/>
          <w:szCs w:val="24"/>
          <w:lang w:val="en"/>
        </w:rPr>
        <w:t>instances where a foreign source pays tuition for a student or students</w:t>
      </w:r>
      <w:r w:rsidR="00020047">
        <w:rPr>
          <w:rFonts w:ascii="Times New Roman" w:eastAsia="Times New Roman" w:hAnsi="Times New Roman" w:cs="Times New Roman"/>
          <w:sz w:val="24"/>
          <w:szCs w:val="24"/>
          <w:lang w:val="en"/>
        </w:rPr>
        <w:t xml:space="preserve"> as meeting the definition of contract under </w:t>
      </w:r>
      <w:r w:rsidR="00020047" w:rsidRPr="00020047">
        <w:rPr>
          <w:rFonts w:ascii="Times New Roman" w:eastAsia="Times New Roman" w:hAnsi="Times New Roman" w:cs="Times New Roman"/>
          <w:sz w:val="24"/>
          <w:szCs w:val="24"/>
        </w:rPr>
        <w:t>20 U.S.C. § 1011f</w:t>
      </w:r>
      <w:r w:rsidR="00020047">
        <w:rPr>
          <w:rFonts w:ascii="Times New Roman" w:eastAsia="Times New Roman" w:hAnsi="Times New Roman" w:cs="Times New Roman"/>
          <w:sz w:val="24"/>
          <w:szCs w:val="24"/>
        </w:rPr>
        <w:t>(h)(1).</w:t>
      </w:r>
      <w:r w:rsidR="00020047" w:rsidRPr="00020047">
        <w:rPr>
          <w:rFonts w:ascii="Times New Roman" w:eastAsia="Times New Roman" w:hAnsi="Times New Roman" w:cs="Times New Roman"/>
          <w:sz w:val="24"/>
          <w:szCs w:val="24"/>
        </w:rPr>
        <w:t xml:space="preserve"> </w:t>
      </w:r>
      <w:r w:rsidR="004B0AD9" w:rsidRPr="00773152">
        <w:rPr>
          <w:rFonts w:ascii="Times New Roman" w:eastAsia="Times New Roman" w:hAnsi="Times New Roman" w:cs="Times New Roman"/>
          <w:sz w:val="24"/>
          <w:szCs w:val="24"/>
        </w:rPr>
        <w:t xml:space="preserve">  </w:t>
      </w:r>
      <w:r w:rsidR="00ED1FF4" w:rsidRPr="00773152">
        <w:rPr>
          <w:rFonts w:ascii="Times New Roman" w:eastAsia="Times New Roman" w:hAnsi="Times New Roman" w:cs="Times New Roman"/>
          <w:sz w:val="24"/>
          <w:szCs w:val="24"/>
        </w:rPr>
        <w:t xml:space="preserve">That said, </w:t>
      </w:r>
      <w:r w:rsidR="004B0AD9" w:rsidRPr="00773152">
        <w:rPr>
          <w:rFonts w:ascii="Times New Roman" w:eastAsia="Times New Roman" w:hAnsi="Times New Roman" w:cs="Times New Roman"/>
          <w:sz w:val="24"/>
          <w:szCs w:val="24"/>
        </w:rPr>
        <w:t xml:space="preserve">an </w:t>
      </w:r>
      <w:r w:rsidR="002B107B">
        <w:rPr>
          <w:rFonts w:ascii="Times New Roman" w:hAnsi="Times New Roman" w:cs="Times New Roman"/>
          <w:sz w:val="24"/>
          <w:szCs w:val="24"/>
        </w:rPr>
        <w:t>institution</w:t>
      </w:r>
      <w:r w:rsidR="004B0AD9" w:rsidRPr="00773152">
        <w:rPr>
          <w:rFonts w:ascii="Times New Roman" w:eastAsia="Times New Roman" w:hAnsi="Times New Roman" w:cs="Times New Roman"/>
          <w:sz w:val="24"/>
          <w:szCs w:val="24"/>
        </w:rPr>
        <w:t xml:space="preserve"> would </w:t>
      </w:r>
      <w:r w:rsidR="00020047">
        <w:rPr>
          <w:rFonts w:ascii="Times New Roman" w:eastAsia="Times New Roman" w:hAnsi="Times New Roman" w:cs="Times New Roman"/>
          <w:sz w:val="24"/>
          <w:szCs w:val="24"/>
        </w:rPr>
        <w:t xml:space="preserve">only </w:t>
      </w:r>
      <w:r w:rsidR="004B0AD9" w:rsidRPr="00773152">
        <w:rPr>
          <w:rFonts w:ascii="Times New Roman" w:eastAsia="Times New Roman" w:hAnsi="Times New Roman" w:cs="Times New Roman"/>
          <w:sz w:val="24"/>
          <w:szCs w:val="24"/>
        </w:rPr>
        <w:t xml:space="preserve">need to report </w:t>
      </w:r>
      <w:r w:rsidR="00ED1FF4" w:rsidRPr="00773152">
        <w:rPr>
          <w:rFonts w:ascii="Times New Roman" w:eastAsia="Times New Roman" w:hAnsi="Times New Roman" w:cs="Times New Roman"/>
          <w:sz w:val="24"/>
          <w:szCs w:val="24"/>
        </w:rPr>
        <w:t>this type of contract</w:t>
      </w:r>
      <w:r w:rsidR="00296694" w:rsidRPr="00773152">
        <w:rPr>
          <w:rFonts w:ascii="Times New Roman" w:eastAsia="Times New Roman" w:hAnsi="Times New Roman" w:cs="Times New Roman"/>
          <w:sz w:val="24"/>
          <w:szCs w:val="24"/>
        </w:rPr>
        <w:t xml:space="preserve"> </w:t>
      </w:r>
      <w:r w:rsidR="004B0AD9" w:rsidRPr="00773152">
        <w:rPr>
          <w:rFonts w:ascii="Times New Roman" w:eastAsia="Times New Roman" w:hAnsi="Times New Roman" w:cs="Times New Roman"/>
          <w:sz w:val="24"/>
          <w:szCs w:val="24"/>
        </w:rPr>
        <w:t>if the $250,000 threshold is met</w:t>
      </w:r>
      <w:r w:rsidR="00BB72B2">
        <w:rPr>
          <w:rFonts w:ascii="Times New Roman" w:eastAsia="Times New Roman" w:hAnsi="Times New Roman" w:cs="Times New Roman"/>
          <w:sz w:val="24"/>
          <w:szCs w:val="24"/>
        </w:rPr>
        <w:t xml:space="preserve"> by a given foreign source</w:t>
      </w:r>
      <w:r w:rsidR="004B0AD9" w:rsidRPr="00773152">
        <w:rPr>
          <w:rFonts w:ascii="Times New Roman" w:eastAsia="Times New Roman" w:hAnsi="Times New Roman" w:cs="Times New Roman"/>
          <w:sz w:val="24"/>
          <w:szCs w:val="24"/>
        </w:rPr>
        <w:t xml:space="preserve">.  </w:t>
      </w:r>
      <w:r w:rsidR="00BB72B2">
        <w:rPr>
          <w:rFonts w:ascii="Times New Roman" w:eastAsia="Times New Roman" w:hAnsi="Times New Roman" w:cs="Times New Roman"/>
          <w:sz w:val="24"/>
          <w:szCs w:val="24"/>
        </w:rPr>
        <w:t>We note</w:t>
      </w:r>
      <w:r w:rsidR="004B0AD9" w:rsidRPr="00773152">
        <w:rPr>
          <w:rFonts w:ascii="Times New Roman" w:eastAsia="Times New Roman" w:hAnsi="Times New Roman" w:cs="Times New Roman"/>
          <w:sz w:val="24"/>
          <w:szCs w:val="24"/>
        </w:rPr>
        <w:t xml:space="preserve"> the threshold would likely be met </w:t>
      </w:r>
      <w:r w:rsidR="007A4916" w:rsidRPr="00773152">
        <w:rPr>
          <w:rFonts w:ascii="Times New Roman" w:eastAsia="Times New Roman" w:hAnsi="Times New Roman" w:cs="Times New Roman"/>
          <w:sz w:val="24"/>
          <w:szCs w:val="24"/>
        </w:rPr>
        <w:t>in situations where</w:t>
      </w:r>
      <w:r w:rsidR="004B0AD9" w:rsidRPr="00773152">
        <w:rPr>
          <w:rFonts w:ascii="Times New Roman" w:eastAsia="Times New Roman" w:hAnsi="Times New Roman" w:cs="Times New Roman"/>
          <w:sz w:val="24"/>
          <w:szCs w:val="24"/>
        </w:rPr>
        <w:t xml:space="preserve"> a foreign source pays tuition for multiple students </w:t>
      </w:r>
      <w:r w:rsidR="00BB72B2">
        <w:rPr>
          <w:rFonts w:ascii="Times New Roman" w:eastAsia="Times New Roman" w:hAnsi="Times New Roman" w:cs="Times New Roman"/>
          <w:sz w:val="24"/>
          <w:szCs w:val="24"/>
        </w:rPr>
        <w:t xml:space="preserve">and </w:t>
      </w:r>
      <w:r w:rsidR="004B0AD9" w:rsidRPr="00773152">
        <w:rPr>
          <w:rFonts w:ascii="Times New Roman" w:eastAsia="Times New Roman" w:hAnsi="Times New Roman" w:cs="Times New Roman"/>
          <w:sz w:val="24"/>
          <w:szCs w:val="24"/>
        </w:rPr>
        <w:t xml:space="preserve">the aggregate amount exceeds the </w:t>
      </w:r>
      <w:r w:rsidR="00296694" w:rsidRPr="00773152">
        <w:rPr>
          <w:rFonts w:ascii="Times New Roman" w:eastAsia="Times New Roman" w:hAnsi="Times New Roman" w:cs="Times New Roman"/>
          <w:sz w:val="24"/>
          <w:szCs w:val="24"/>
        </w:rPr>
        <w:t>$250</w:t>
      </w:r>
      <w:r w:rsidR="004B0AD9" w:rsidRPr="00773152">
        <w:rPr>
          <w:rFonts w:ascii="Times New Roman" w:eastAsia="Times New Roman" w:hAnsi="Times New Roman" w:cs="Times New Roman"/>
          <w:sz w:val="24"/>
          <w:szCs w:val="24"/>
        </w:rPr>
        <w:t xml:space="preserve">,000 </w:t>
      </w:r>
      <w:r w:rsidR="00296694" w:rsidRPr="00773152">
        <w:rPr>
          <w:rFonts w:ascii="Times New Roman" w:eastAsia="Times New Roman" w:hAnsi="Times New Roman" w:cs="Times New Roman"/>
          <w:sz w:val="24"/>
          <w:szCs w:val="24"/>
        </w:rPr>
        <w:t>threshold</w:t>
      </w:r>
      <w:r w:rsidR="004B0AD9" w:rsidRPr="00773152">
        <w:rPr>
          <w:rFonts w:ascii="Times New Roman" w:eastAsia="Times New Roman" w:hAnsi="Times New Roman" w:cs="Times New Roman"/>
          <w:sz w:val="24"/>
          <w:szCs w:val="24"/>
        </w:rPr>
        <w:t xml:space="preserve">.  </w:t>
      </w:r>
      <w:r w:rsidR="00F231EB">
        <w:rPr>
          <w:rFonts w:ascii="Times New Roman" w:hAnsi="Times New Roman" w:cs="Times New Roman"/>
          <w:sz w:val="24"/>
          <w:szCs w:val="24"/>
        </w:rPr>
        <w:t>We believe that this information collection is consistent with all applicable laws, including FERPA.</w:t>
      </w:r>
      <w:r w:rsidR="00F231EB" w:rsidRPr="00773152">
        <w:rPr>
          <w:rFonts w:ascii="Times New Roman" w:hAnsi="Times New Roman" w:cs="Times New Roman"/>
          <w:sz w:val="24"/>
          <w:szCs w:val="24"/>
        </w:rPr>
        <w:t xml:space="preserve">  </w:t>
      </w:r>
    </w:p>
    <w:p w14:paraId="495A3341" w14:textId="3479B1FF" w:rsidR="006B4BC4" w:rsidRPr="00773152" w:rsidRDefault="006B4BC4" w:rsidP="006B4BC4">
      <w:pPr>
        <w:rPr>
          <w:rFonts w:ascii="Times New Roman" w:eastAsia="Times New Roman" w:hAnsi="Times New Roman" w:cs="Times New Roman"/>
          <w:b/>
          <w:sz w:val="24"/>
          <w:szCs w:val="24"/>
        </w:rPr>
      </w:pPr>
      <w:r w:rsidRPr="00773152">
        <w:rPr>
          <w:rFonts w:ascii="Times New Roman" w:eastAsia="Times New Roman" w:hAnsi="Times New Roman" w:cs="Times New Roman"/>
          <w:b/>
          <w:sz w:val="24"/>
          <w:szCs w:val="24"/>
        </w:rPr>
        <w:t>Changes</w:t>
      </w:r>
      <w:r w:rsidRPr="00773152">
        <w:rPr>
          <w:rFonts w:ascii="Times New Roman" w:eastAsia="Times New Roman" w:hAnsi="Times New Roman" w:cs="Times New Roman"/>
          <w:sz w:val="24"/>
          <w:szCs w:val="24"/>
        </w:rPr>
        <w:t>:</w:t>
      </w:r>
      <w:r w:rsidR="00375111" w:rsidRPr="00773152">
        <w:rPr>
          <w:rFonts w:ascii="Times New Roman" w:eastAsia="Times New Roman" w:hAnsi="Times New Roman" w:cs="Times New Roman"/>
          <w:sz w:val="24"/>
          <w:szCs w:val="24"/>
        </w:rPr>
        <w:t xml:space="preserve">  None.  </w:t>
      </w:r>
    </w:p>
    <w:p w14:paraId="23A44700" w14:textId="2018135B" w:rsidR="00F12683" w:rsidRPr="00773152" w:rsidRDefault="00F12683" w:rsidP="0043722F">
      <w:pPr>
        <w:rPr>
          <w:rFonts w:ascii="Times New Roman" w:eastAsia="Times New Roman" w:hAnsi="Times New Roman" w:cs="Times New Roman"/>
          <w:b/>
          <w:sz w:val="24"/>
          <w:szCs w:val="24"/>
        </w:rPr>
      </w:pPr>
      <w:r w:rsidRPr="00773152">
        <w:rPr>
          <w:rFonts w:ascii="Times New Roman" w:eastAsia="Times New Roman" w:hAnsi="Times New Roman" w:cs="Times New Roman"/>
          <w:b/>
          <w:sz w:val="24"/>
          <w:szCs w:val="24"/>
        </w:rPr>
        <w:t>Certification</w:t>
      </w:r>
      <w:r w:rsidR="0093042D">
        <w:rPr>
          <w:rFonts w:ascii="Times New Roman" w:eastAsia="Times New Roman" w:hAnsi="Times New Roman" w:cs="Times New Roman"/>
          <w:b/>
          <w:sz w:val="24"/>
          <w:szCs w:val="24"/>
        </w:rPr>
        <w:t>s</w:t>
      </w:r>
    </w:p>
    <w:p w14:paraId="10C69EB1" w14:textId="15A21816" w:rsidR="0047736C" w:rsidRDefault="00B2418E" w:rsidP="006B43C1">
      <w:pPr>
        <w:autoSpaceDE w:val="0"/>
        <w:autoSpaceDN w:val="0"/>
        <w:adjustRightInd w:val="0"/>
        <w:spacing w:after="0" w:line="240" w:lineRule="auto"/>
        <w:rPr>
          <w:rFonts w:ascii="Times New Roman" w:hAnsi="Times New Roman" w:cs="Times New Roman"/>
          <w:sz w:val="24"/>
          <w:szCs w:val="24"/>
        </w:rPr>
      </w:pPr>
      <w:r w:rsidRPr="00773152">
        <w:rPr>
          <w:rFonts w:ascii="Times New Roman" w:eastAsia="Times New Roman" w:hAnsi="Times New Roman" w:cs="Times New Roman"/>
          <w:b/>
          <w:sz w:val="24"/>
          <w:szCs w:val="24"/>
        </w:rPr>
        <w:t>Comments</w:t>
      </w:r>
      <w:r w:rsidRPr="00773152">
        <w:rPr>
          <w:rFonts w:ascii="Times New Roman" w:eastAsia="Times New Roman" w:hAnsi="Times New Roman" w:cs="Times New Roman"/>
          <w:sz w:val="24"/>
          <w:szCs w:val="24"/>
        </w:rPr>
        <w:t xml:space="preserve">:  </w:t>
      </w:r>
      <w:r w:rsidRPr="00773152">
        <w:rPr>
          <w:rFonts w:ascii="Times New Roman" w:hAnsi="Times New Roman" w:cs="Times New Roman"/>
          <w:sz w:val="24"/>
          <w:szCs w:val="24"/>
        </w:rPr>
        <w:t>Some commenters asserted that 20 U.S.C. § 1011f does not authorize</w:t>
      </w:r>
      <w:r w:rsidR="00AD6739" w:rsidRPr="00773152">
        <w:rPr>
          <w:rFonts w:ascii="Times New Roman" w:hAnsi="Times New Roman" w:cs="Times New Roman"/>
          <w:sz w:val="24"/>
          <w:szCs w:val="24"/>
        </w:rPr>
        <w:t xml:space="preserve"> the Department to </w:t>
      </w:r>
      <w:r w:rsidRPr="00773152">
        <w:rPr>
          <w:rFonts w:ascii="Times New Roman" w:hAnsi="Times New Roman" w:cs="Times New Roman"/>
          <w:sz w:val="24"/>
          <w:szCs w:val="24"/>
        </w:rPr>
        <w:t>requir</w:t>
      </w:r>
      <w:r w:rsidR="00AD6739" w:rsidRPr="00773152">
        <w:rPr>
          <w:rFonts w:ascii="Times New Roman" w:hAnsi="Times New Roman" w:cs="Times New Roman"/>
          <w:sz w:val="24"/>
          <w:szCs w:val="24"/>
        </w:rPr>
        <w:t xml:space="preserve">e </w:t>
      </w:r>
      <w:r w:rsidRPr="00773152">
        <w:rPr>
          <w:rFonts w:ascii="Times New Roman" w:hAnsi="Times New Roman" w:cs="Times New Roman"/>
          <w:sz w:val="24"/>
          <w:szCs w:val="24"/>
        </w:rPr>
        <w:t xml:space="preserve">an institution to make the certifications from 6(a) through 6(g) </w:t>
      </w:r>
      <w:r w:rsidR="00EC1676" w:rsidRPr="00773152">
        <w:rPr>
          <w:rFonts w:ascii="Times New Roman" w:hAnsi="Times New Roman" w:cs="Times New Roman"/>
          <w:sz w:val="24"/>
          <w:szCs w:val="24"/>
        </w:rPr>
        <w:t xml:space="preserve">as part of </w:t>
      </w:r>
      <w:r w:rsidR="005943B8" w:rsidRPr="00773152">
        <w:rPr>
          <w:rFonts w:ascii="Times New Roman" w:hAnsi="Times New Roman" w:cs="Times New Roman"/>
          <w:sz w:val="24"/>
          <w:szCs w:val="24"/>
        </w:rPr>
        <w:t>this statutory disclosure</w:t>
      </w:r>
      <w:r w:rsidRPr="00773152">
        <w:rPr>
          <w:rFonts w:ascii="Times New Roman" w:hAnsi="Times New Roman" w:cs="Times New Roman"/>
          <w:sz w:val="24"/>
          <w:szCs w:val="24"/>
        </w:rPr>
        <w:t xml:space="preserve">.  </w:t>
      </w:r>
      <w:r w:rsidR="00254C6A" w:rsidRPr="00773152">
        <w:rPr>
          <w:rFonts w:ascii="Times New Roman" w:hAnsi="Times New Roman" w:cs="Times New Roman"/>
          <w:sz w:val="24"/>
          <w:szCs w:val="24"/>
        </w:rPr>
        <w:t xml:space="preserve">These commenters </w:t>
      </w:r>
      <w:r w:rsidR="009F39B2" w:rsidRPr="00773152">
        <w:rPr>
          <w:rFonts w:ascii="Times New Roman" w:hAnsi="Times New Roman" w:cs="Times New Roman"/>
          <w:sz w:val="24"/>
          <w:szCs w:val="24"/>
        </w:rPr>
        <w:t xml:space="preserve">stated that the Department has no role with regard to any of these laws and no authority to enforce them.  </w:t>
      </w:r>
      <w:r w:rsidR="009B3B16" w:rsidRPr="00773152">
        <w:rPr>
          <w:rFonts w:ascii="Times New Roman" w:hAnsi="Times New Roman" w:cs="Times New Roman"/>
          <w:sz w:val="24"/>
          <w:szCs w:val="24"/>
        </w:rPr>
        <w:t>Similarly, commenters</w:t>
      </w:r>
      <w:r w:rsidR="0047736C" w:rsidRPr="00773152">
        <w:rPr>
          <w:rFonts w:ascii="Times New Roman" w:hAnsi="Times New Roman" w:cs="Times New Roman"/>
          <w:sz w:val="24"/>
          <w:szCs w:val="24"/>
        </w:rPr>
        <w:t xml:space="preserve"> asserted that </w:t>
      </w:r>
      <w:r w:rsidR="00432870" w:rsidRPr="00773152">
        <w:rPr>
          <w:rFonts w:ascii="Times New Roman" w:hAnsi="Times New Roman" w:cs="Times New Roman"/>
          <w:sz w:val="24"/>
          <w:szCs w:val="24"/>
        </w:rPr>
        <w:t xml:space="preserve">the penalties </w:t>
      </w:r>
      <w:r w:rsidR="0047736C">
        <w:rPr>
          <w:rFonts w:ascii="Times New Roman" w:hAnsi="Times New Roman" w:cs="Times New Roman"/>
          <w:sz w:val="24"/>
          <w:szCs w:val="24"/>
        </w:rPr>
        <w:t>for knowingly or willfully failing to provide</w:t>
      </w:r>
      <w:r w:rsidR="005943B8">
        <w:rPr>
          <w:rFonts w:ascii="Times New Roman" w:hAnsi="Times New Roman" w:cs="Times New Roman"/>
          <w:sz w:val="24"/>
          <w:szCs w:val="24"/>
        </w:rPr>
        <w:t xml:space="preserve"> </w:t>
      </w:r>
      <w:r w:rsidR="0047736C">
        <w:rPr>
          <w:rFonts w:ascii="Times New Roman" w:hAnsi="Times New Roman" w:cs="Times New Roman"/>
          <w:sz w:val="24"/>
          <w:szCs w:val="24"/>
        </w:rPr>
        <w:t>accurate information would be significantly expanded to potentially include imprisonment</w:t>
      </w:r>
      <w:r w:rsidR="00D044FF">
        <w:rPr>
          <w:rFonts w:ascii="Times New Roman" w:hAnsi="Times New Roman" w:cs="Times New Roman"/>
          <w:sz w:val="24"/>
          <w:szCs w:val="24"/>
        </w:rPr>
        <w:t xml:space="preserve"> and that </w:t>
      </w:r>
      <w:r w:rsidR="000F1293">
        <w:rPr>
          <w:rFonts w:ascii="Times New Roman" w:hAnsi="Times New Roman" w:cs="Times New Roman"/>
          <w:sz w:val="24"/>
          <w:szCs w:val="24"/>
        </w:rPr>
        <w:t>the</w:t>
      </w:r>
      <w:r w:rsidR="00686386">
        <w:rPr>
          <w:rFonts w:ascii="Times New Roman" w:hAnsi="Times New Roman" w:cs="Times New Roman"/>
          <w:sz w:val="24"/>
          <w:szCs w:val="24"/>
        </w:rPr>
        <w:t>re is no authority provided by</w:t>
      </w:r>
      <w:r w:rsidR="0047736C">
        <w:rPr>
          <w:rFonts w:ascii="Times New Roman" w:hAnsi="Times New Roman" w:cs="Times New Roman"/>
          <w:sz w:val="24"/>
          <w:szCs w:val="24"/>
        </w:rPr>
        <w:t xml:space="preserve"> 20 U.S.C.</w:t>
      </w:r>
      <w:r w:rsidR="00686386">
        <w:rPr>
          <w:rFonts w:ascii="Times New Roman" w:hAnsi="Times New Roman" w:cs="Times New Roman"/>
          <w:sz w:val="24"/>
          <w:szCs w:val="24"/>
        </w:rPr>
        <w:t xml:space="preserve"> </w:t>
      </w:r>
      <w:r w:rsidR="0047736C" w:rsidRPr="00773152">
        <w:rPr>
          <w:rFonts w:ascii="Times New Roman" w:hAnsi="Times New Roman" w:cs="Times New Roman"/>
          <w:sz w:val="24"/>
          <w:szCs w:val="24"/>
        </w:rPr>
        <w:t>1011f</w:t>
      </w:r>
      <w:r w:rsidR="00686386">
        <w:rPr>
          <w:rFonts w:ascii="Times New Roman" w:hAnsi="Times New Roman" w:cs="Times New Roman"/>
          <w:sz w:val="24"/>
          <w:szCs w:val="24"/>
        </w:rPr>
        <w:t xml:space="preserve"> for imposing criminal penalties</w:t>
      </w:r>
      <w:r w:rsidR="00477B16">
        <w:rPr>
          <w:rFonts w:ascii="Times New Roman" w:hAnsi="Times New Roman" w:cs="Times New Roman"/>
          <w:sz w:val="24"/>
          <w:szCs w:val="24"/>
        </w:rPr>
        <w:t xml:space="preserve"> for failure to comply </w:t>
      </w:r>
      <w:r w:rsidR="002F47E3">
        <w:rPr>
          <w:rFonts w:ascii="Times New Roman" w:hAnsi="Times New Roman" w:cs="Times New Roman"/>
          <w:sz w:val="24"/>
          <w:szCs w:val="24"/>
        </w:rPr>
        <w:t>with this disclosure requirement</w:t>
      </w:r>
      <w:r w:rsidR="00285AE7">
        <w:rPr>
          <w:rFonts w:ascii="Times New Roman" w:hAnsi="Times New Roman" w:cs="Times New Roman"/>
          <w:sz w:val="24"/>
          <w:szCs w:val="24"/>
        </w:rPr>
        <w:t xml:space="preserve">.  </w:t>
      </w:r>
      <w:r w:rsidR="00A55DBF">
        <w:rPr>
          <w:rFonts w:ascii="Times New Roman" w:hAnsi="Times New Roman" w:cs="Times New Roman"/>
          <w:sz w:val="24"/>
          <w:szCs w:val="24"/>
        </w:rPr>
        <w:t xml:space="preserve">  </w:t>
      </w:r>
    </w:p>
    <w:p w14:paraId="2DD6ABA1" w14:textId="2EC2A420" w:rsidR="009F39B2" w:rsidRPr="00773152" w:rsidRDefault="009F39B2" w:rsidP="009F39B2">
      <w:pPr>
        <w:autoSpaceDE w:val="0"/>
        <w:autoSpaceDN w:val="0"/>
        <w:adjustRightInd w:val="0"/>
        <w:spacing w:after="0" w:line="240" w:lineRule="auto"/>
        <w:rPr>
          <w:rFonts w:ascii="Times New Roman" w:hAnsi="Times New Roman" w:cs="Times New Roman"/>
          <w:sz w:val="24"/>
          <w:szCs w:val="24"/>
        </w:rPr>
      </w:pPr>
      <w:r w:rsidRPr="00773152">
        <w:rPr>
          <w:rFonts w:ascii="Times New Roman" w:hAnsi="Times New Roman" w:cs="Times New Roman"/>
          <w:sz w:val="24"/>
          <w:szCs w:val="24"/>
        </w:rPr>
        <w:t xml:space="preserve">  </w:t>
      </w:r>
    </w:p>
    <w:p w14:paraId="37C70879" w14:textId="22480D56" w:rsidR="001221CF" w:rsidRPr="00773152" w:rsidRDefault="00780FE1" w:rsidP="0043722F">
      <w:pPr>
        <w:rPr>
          <w:rFonts w:ascii="Times New Roman" w:eastAsia="Times New Roman" w:hAnsi="Times New Roman" w:cs="Times New Roman"/>
          <w:sz w:val="24"/>
          <w:szCs w:val="24"/>
        </w:rPr>
      </w:pPr>
      <w:r w:rsidRPr="00773152">
        <w:rPr>
          <w:rFonts w:ascii="Times New Roman" w:eastAsia="Times New Roman" w:hAnsi="Times New Roman" w:cs="Times New Roman"/>
          <w:b/>
          <w:sz w:val="24"/>
          <w:szCs w:val="24"/>
        </w:rPr>
        <w:t>Responses:</w:t>
      </w:r>
      <w:r w:rsidR="00437589" w:rsidRPr="00773152">
        <w:rPr>
          <w:rFonts w:ascii="Times New Roman" w:eastAsia="Times New Roman" w:hAnsi="Times New Roman" w:cs="Times New Roman"/>
          <w:b/>
          <w:sz w:val="24"/>
          <w:szCs w:val="24"/>
        </w:rPr>
        <w:t xml:space="preserve">  </w:t>
      </w:r>
      <w:r w:rsidR="0009787A">
        <w:rPr>
          <w:rFonts w:ascii="Times New Roman" w:eastAsia="Times New Roman" w:hAnsi="Times New Roman" w:cs="Times New Roman"/>
          <w:sz w:val="24"/>
          <w:szCs w:val="24"/>
        </w:rPr>
        <w:t>We agree the identified certifications are not authorized by statute. We disagree that the Department is expanding penalties by highlighting that submission of a disclosure report may be subject to 18 U.S.C. § 1001.</w:t>
      </w:r>
    </w:p>
    <w:p w14:paraId="3F286B3B" w14:textId="6EC88CD2" w:rsidR="00780FE1" w:rsidRPr="00773152" w:rsidRDefault="00780FE1" w:rsidP="0043722F">
      <w:pPr>
        <w:rPr>
          <w:rFonts w:ascii="Times New Roman" w:eastAsia="Times New Roman" w:hAnsi="Times New Roman" w:cs="Times New Roman"/>
          <w:sz w:val="24"/>
          <w:szCs w:val="24"/>
        </w:rPr>
      </w:pPr>
      <w:r w:rsidRPr="00773152">
        <w:rPr>
          <w:rFonts w:ascii="Times New Roman" w:eastAsia="Times New Roman" w:hAnsi="Times New Roman" w:cs="Times New Roman"/>
          <w:b/>
          <w:sz w:val="24"/>
          <w:szCs w:val="24"/>
        </w:rPr>
        <w:t>Changes:</w:t>
      </w:r>
      <w:r w:rsidR="002B4396" w:rsidRPr="00773152">
        <w:rPr>
          <w:rFonts w:ascii="Times New Roman" w:eastAsia="Times New Roman" w:hAnsi="Times New Roman" w:cs="Times New Roman"/>
          <w:b/>
          <w:sz w:val="24"/>
          <w:szCs w:val="24"/>
        </w:rPr>
        <w:t xml:space="preserve">  </w:t>
      </w:r>
      <w:r w:rsidR="00882AE1" w:rsidRPr="00773152">
        <w:rPr>
          <w:rFonts w:ascii="Times New Roman" w:eastAsia="Times New Roman" w:hAnsi="Times New Roman" w:cs="Times New Roman"/>
          <w:sz w:val="24"/>
          <w:szCs w:val="24"/>
        </w:rPr>
        <w:t>We are removing the</w:t>
      </w:r>
      <w:r w:rsidR="0009787A">
        <w:rPr>
          <w:rFonts w:ascii="Times New Roman" w:eastAsia="Times New Roman" w:hAnsi="Times New Roman" w:cs="Times New Roman"/>
          <w:sz w:val="24"/>
          <w:szCs w:val="24"/>
        </w:rPr>
        <w:t xml:space="preserve"> unauthorized</w:t>
      </w:r>
      <w:r w:rsidR="00882AE1" w:rsidRPr="00773152">
        <w:rPr>
          <w:rFonts w:ascii="Times New Roman" w:eastAsia="Times New Roman" w:hAnsi="Times New Roman" w:cs="Times New Roman"/>
          <w:sz w:val="24"/>
          <w:szCs w:val="24"/>
        </w:rPr>
        <w:t xml:space="preserve"> certifications from </w:t>
      </w:r>
      <w:r w:rsidR="004776CA" w:rsidRPr="00773152">
        <w:rPr>
          <w:rFonts w:ascii="Times New Roman" w:eastAsia="Times New Roman" w:hAnsi="Times New Roman" w:cs="Times New Roman"/>
          <w:sz w:val="24"/>
          <w:szCs w:val="24"/>
        </w:rPr>
        <w:t>section 6 of the proposed</w:t>
      </w:r>
      <w:r w:rsidR="00882AE1" w:rsidRPr="00773152">
        <w:rPr>
          <w:rFonts w:ascii="Times New Roman" w:eastAsia="Times New Roman" w:hAnsi="Times New Roman" w:cs="Times New Roman"/>
          <w:sz w:val="24"/>
          <w:szCs w:val="24"/>
        </w:rPr>
        <w:t xml:space="preserve"> disclosure form.</w:t>
      </w:r>
      <w:r w:rsidR="0009787A">
        <w:rPr>
          <w:rFonts w:ascii="Times New Roman" w:eastAsia="Times New Roman" w:hAnsi="Times New Roman" w:cs="Times New Roman"/>
          <w:sz w:val="24"/>
          <w:szCs w:val="24"/>
        </w:rPr>
        <w:t xml:space="preserve">  The 18 U.S.C. § 1001 notification has been retained.</w:t>
      </w:r>
      <w:r w:rsidR="00882AE1" w:rsidRPr="00773152">
        <w:rPr>
          <w:rFonts w:ascii="Times New Roman" w:eastAsia="Times New Roman" w:hAnsi="Times New Roman" w:cs="Times New Roman"/>
          <w:sz w:val="24"/>
          <w:szCs w:val="24"/>
        </w:rPr>
        <w:t xml:space="preserve">  </w:t>
      </w:r>
    </w:p>
    <w:p w14:paraId="59330C14" w14:textId="7CC85180" w:rsidR="00F12683" w:rsidRPr="00773152" w:rsidRDefault="00F12683" w:rsidP="0043722F">
      <w:pPr>
        <w:rPr>
          <w:rFonts w:ascii="Times New Roman" w:eastAsia="Times New Roman" w:hAnsi="Times New Roman" w:cs="Times New Roman"/>
          <w:b/>
          <w:sz w:val="24"/>
          <w:szCs w:val="24"/>
        </w:rPr>
      </w:pPr>
      <w:bookmarkStart w:id="11" w:name="_Hlk26183943"/>
      <w:r w:rsidRPr="00773152">
        <w:rPr>
          <w:rFonts w:ascii="Times New Roman" w:eastAsia="Times New Roman" w:hAnsi="Times New Roman" w:cs="Times New Roman"/>
          <w:b/>
          <w:sz w:val="24"/>
          <w:szCs w:val="24"/>
        </w:rPr>
        <w:t xml:space="preserve">Burden estimate </w:t>
      </w:r>
    </w:p>
    <w:p w14:paraId="0F29FC22" w14:textId="109523FE" w:rsidR="00F12683" w:rsidRPr="0026607A" w:rsidRDefault="0087483C" w:rsidP="009417EA">
      <w:pPr>
        <w:pStyle w:val="NoSpacing"/>
        <w:rPr>
          <w:rFonts w:ascii="Times New Roman" w:hAnsi="Times New Roman" w:cs="Times New Roman"/>
          <w:sz w:val="24"/>
          <w:szCs w:val="24"/>
        </w:rPr>
      </w:pPr>
      <w:r w:rsidRPr="00773152">
        <w:rPr>
          <w:rFonts w:ascii="Times New Roman" w:hAnsi="Times New Roman" w:cs="Times New Roman"/>
          <w:b/>
          <w:sz w:val="24"/>
          <w:szCs w:val="24"/>
        </w:rPr>
        <w:t>Comments</w:t>
      </w:r>
      <w:r w:rsidRPr="00773152">
        <w:rPr>
          <w:rFonts w:ascii="Times New Roman" w:hAnsi="Times New Roman" w:cs="Times New Roman"/>
          <w:sz w:val="24"/>
          <w:szCs w:val="24"/>
        </w:rPr>
        <w:t xml:space="preserve">:  </w:t>
      </w:r>
      <w:r w:rsidR="0057549F" w:rsidRPr="00773152">
        <w:rPr>
          <w:rFonts w:ascii="Times New Roman" w:hAnsi="Times New Roman" w:cs="Times New Roman"/>
          <w:sz w:val="24"/>
          <w:szCs w:val="24"/>
        </w:rPr>
        <w:t xml:space="preserve">There were a number of commenters that asserted the Department’s </w:t>
      </w:r>
      <w:r w:rsidR="00AA1245">
        <w:rPr>
          <w:rFonts w:ascii="Times New Roman" w:hAnsi="Times New Roman" w:cs="Times New Roman"/>
          <w:sz w:val="24"/>
          <w:szCs w:val="24"/>
        </w:rPr>
        <w:t xml:space="preserve">proposed </w:t>
      </w:r>
      <w:r w:rsidR="0057549F" w:rsidRPr="00773152">
        <w:rPr>
          <w:rFonts w:ascii="Times New Roman" w:hAnsi="Times New Roman" w:cs="Times New Roman"/>
          <w:sz w:val="24"/>
          <w:szCs w:val="24"/>
        </w:rPr>
        <w:t xml:space="preserve">estimate of ten burden hours per </w:t>
      </w:r>
      <w:r w:rsidR="002B107B">
        <w:rPr>
          <w:rFonts w:ascii="Times New Roman" w:hAnsi="Times New Roman" w:cs="Times New Roman"/>
          <w:sz w:val="24"/>
          <w:szCs w:val="24"/>
        </w:rPr>
        <w:t>institution</w:t>
      </w:r>
      <w:r w:rsidR="0057549F" w:rsidRPr="00773152">
        <w:rPr>
          <w:rFonts w:ascii="Times New Roman" w:hAnsi="Times New Roman" w:cs="Times New Roman"/>
          <w:sz w:val="24"/>
          <w:szCs w:val="24"/>
        </w:rPr>
        <w:t xml:space="preserve"> per year was an underestimate of the time and resources an </w:t>
      </w:r>
      <w:r w:rsidR="002B107B">
        <w:rPr>
          <w:rFonts w:ascii="Times New Roman" w:hAnsi="Times New Roman" w:cs="Times New Roman"/>
          <w:sz w:val="24"/>
          <w:szCs w:val="24"/>
        </w:rPr>
        <w:t>institution</w:t>
      </w:r>
      <w:r w:rsidR="0057549F" w:rsidRPr="00773152">
        <w:rPr>
          <w:rFonts w:ascii="Times New Roman" w:hAnsi="Times New Roman" w:cs="Times New Roman"/>
          <w:sz w:val="24"/>
          <w:szCs w:val="24"/>
        </w:rPr>
        <w:t xml:space="preserve"> would have to spend on this disclosure.  </w:t>
      </w:r>
      <w:r w:rsidR="00800A8F" w:rsidRPr="00773152">
        <w:rPr>
          <w:rFonts w:ascii="Times New Roman" w:hAnsi="Times New Roman" w:cs="Times New Roman"/>
          <w:sz w:val="24"/>
          <w:szCs w:val="24"/>
        </w:rPr>
        <w:t>Some of t</w:t>
      </w:r>
      <w:r w:rsidR="0057549F" w:rsidRPr="00773152">
        <w:rPr>
          <w:rFonts w:ascii="Times New Roman" w:hAnsi="Times New Roman" w:cs="Times New Roman"/>
          <w:sz w:val="24"/>
          <w:szCs w:val="24"/>
        </w:rPr>
        <w:t xml:space="preserve">hese commenters </w:t>
      </w:r>
      <w:r w:rsidR="00800A8F" w:rsidRPr="00773152">
        <w:rPr>
          <w:rFonts w:ascii="Times New Roman" w:hAnsi="Times New Roman" w:cs="Times New Roman"/>
          <w:sz w:val="24"/>
          <w:szCs w:val="24"/>
        </w:rPr>
        <w:t xml:space="preserve">pointed out that </w:t>
      </w:r>
      <w:r w:rsidR="0057549F" w:rsidRPr="00773152">
        <w:rPr>
          <w:rFonts w:ascii="Times New Roman" w:hAnsi="Times New Roman" w:cs="Times New Roman"/>
          <w:sz w:val="24"/>
          <w:szCs w:val="24"/>
        </w:rPr>
        <w:t xml:space="preserve">the Department’s estimate did not factor in the time and resources needed for an </w:t>
      </w:r>
      <w:r w:rsidR="006A6F2F">
        <w:rPr>
          <w:rFonts w:ascii="Times New Roman" w:hAnsi="Times New Roman" w:cs="Times New Roman"/>
          <w:sz w:val="24"/>
          <w:szCs w:val="24"/>
        </w:rPr>
        <w:t>institution</w:t>
      </w:r>
      <w:r w:rsidR="0057549F" w:rsidRPr="00773152">
        <w:rPr>
          <w:rFonts w:ascii="Times New Roman" w:hAnsi="Times New Roman" w:cs="Times New Roman"/>
          <w:sz w:val="24"/>
          <w:szCs w:val="24"/>
        </w:rPr>
        <w:t xml:space="preserve"> to </w:t>
      </w:r>
      <w:r w:rsidR="0057549F" w:rsidRPr="00800A8F">
        <w:rPr>
          <w:rFonts w:ascii="Times New Roman" w:hAnsi="Times New Roman" w:cs="Times New Roman"/>
          <w:color w:val="000000"/>
          <w:sz w:val="24"/>
          <w:szCs w:val="24"/>
        </w:rPr>
        <w:t xml:space="preserve">develop entirely new systems and procedures to accurately collect </w:t>
      </w:r>
      <w:r w:rsidR="00800A8F">
        <w:rPr>
          <w:rFonts w:ascii="Times New Roman" w:hAnsi="Times New Roman" w:cs="Times New Roman"/>
          <w:color w:val="000000"/>
          <w:sz w:val="24"/>
          <w:szCs w:val="24"/>
        </w:rPr>
        <w:t xml:space="preserve">this information and, the additional employees an </w:t>
      </w:r>
      <w:r w:rsidR="006A6F2F">
        <w:rPr>
          <w:rFonts w:ascii="Times New Roman" w:hAnsi="Times New Roman" w:cs="Times New Roman"/>
          <w:sz w:val="24"/>
          <w:szCs w:val="24"/>
        </w:rPr>
        <w:t>institution</w:t>
      </w:r>
      <w:r w:rsidR="00800A8F">
        <w:rPr>
          <w:rFonts w:ascii="Times New Roman" w:hAnsi="Times New Roman" w:cs="Times New Roman"/>
          <w:color w:val="000000"/>
          <w:sz w:val="24"/>
          <w:szCs w:val="24"/>
        </w:rPr>
        <w:t xml:space="preserve"> may have to hire in order to provide this information. </w:t>
      </w:r>
      <w:r w:rsidR="00E0068A">
        <w:rPr>
          <w:rFonts w:ascii="Times New Roman" w:hAnsi="Times New Roman" w:cs="Times New Roman"/>
          <w:color w:val="000000"/>
          <w:sz w:val="24"/>
          <w:szCs w:val="24"/>
        </w:rPr>
        <w:t xml:space="preserve"> </w:t>
      </w:r>
      <w:r w:rsidR="00A32A22">
        <w:rPr>
          <w:rFonts w:ascii="Times New Roman" w:hAnsi="Times New Roman" w:cs="Times New Roman"/>
          <w:color w:val="000000"/>
          <w:sz w:val="24"/>
          <w:szCs w:val="24"/>
        </w:rPr>
        <w:t xml:space="preserve">Although many commenters asserted that the Department underestimated the burden very few commenters provided any insight into the amount of burden they believed this information collection would impose.  </w:t>
      </w:r>
      <w:r w:rsidR="00E0068A">
        <w:rPr>
          <w:rFonts w:ascii="Times New Roman" w:hAnsi="Times New Roman" w:cs="Times New Roman"/>
          <w:color w:val="000000"/>
          <w:sz w:val="24"/>
          <w:szCs w:val="24"/>
        </w:rPr>
        <w:t xml:space="preserve">Another commenter noted that </w:t>
      </w:r>
      <w:r w:rsidR="0046280C">
        <w:rPr>
          <w:rFonts w:ascii="Times New Roman" w:hAnsi="Times New Roman" w:cs="Times New Roman"/>
          <w:color w:val="000000"/>
          <w:sz w:val="24"/>
          <w:szCs w:val="24"/>
        </w:rPr>
        <w:t>the</w:t>
      </w:r>
      <w:r w:rsidR="00E0068A">
        <w:rPr>
          <w:rFonts w:ascii="Times New Roman" w:hAnsi="Times New Roman" w:cs="Times New Roman"/>
          <w:color w:val="000000"/>
          <w:sz w:val="24"/>
          <w:szCs w:val="24"/>
        </w:rPr>
        <w:t xml:space="preserve"> </w:t>
      </w:r>
      <w:r w:rsidR="006D7427">
        <w:rPr>
          <w:rFonts w:ascii="Times New Roman" w:hAnsi="Times New Roman" w:cs="Times New Roman"/>
          <w:color w:val="000000"/>
          <w:sz w:val="24"/>
          <w:szCs w:val="24"/>
        </w:rPr>
        <w:t>s</w:t>
      </w:r>
      <w:r w:rsidR="00D75B33" w:rsidRPr="006D7427">
        <w:rPr>
          <w:rFonts w:ascii="Times New Roman" w:hAnsi="Times New Roman" w:cs="Times New Roman"/>
          <w:color w:val="000000"/>
          <w:sz w:val="24"/>
          <w:szCs w:val="24"/>
        </w:rPr>
        <w:t xml:space="preserve">upporting </w:t>
      </w:r>
      <w:r w:rsidR="006D7427">
        <w:rPr>
          <w:rFonts w:ascii="Times New Roman" w:hAnsi="Times New Roman" w:cs="Times New Roman"/>
          <w:color w:val="000000"/>
          <w:sz w:val="24"/>
          <w:szCs w:val="24"/>
        </w:rPr>
        <w:t>s</w:t>
      </w:r>
      <w:r w:rsidR="00D75B33" w:rsidRPr="006D7427">
        <w:rPr>
          <w:rFonts w:ascii="Times New Roman" w:hAnsi="Times New Roman" w:cs="Times New Roman"/>
          <w:color w:val="000000"/>
          <w:sz w:val="24"/>
          <w:szCs w:val="24"/>
        </w:rPr>
        <w:t xml:space="preserve">tatement for Paperwork Reduction Act </w:t>
      </w:r>
      <w:r w:rsidR="006D7427">
        <w:rPr>
          <w:rFonts w:ascii="Times New Roman" w:hAnsi="Times New Roman" w:cs="Times New Roman"/>
          <w:color w:val="000000"/>
          <w:sz w:val="24"/>
          <w:szCs w:val="24"/>
        </w:rPr>
        <w:t>s</w:t>
      </w:r>
      <w:r w:rsidR="00D75B33" w:rsidRPr="006D7427">
        <w:rPr>
          <w:rFonts w:ascii="Times New Roman" w:hAnsi="Times New Roman" w:cs="Times New Roman"/>
          <w:color w:val="000000"/>
          <w:sz w:val="24"/>
          <w:szCs w:val="24"/>
        </w:rPr>
        <w:t xml:space="preserve">ubmission </w:t>
      </w:r>
      <w:r w:rsidR="006D7427" w:rsidRPr="006D7427">
        <w:rPr>
          <w:rFonts w:ascii="Times New Roman" w:hAnsi="Times New Roman" w:cs="Times New Roman"/>
          <w:color w:val="000000"/>
          <w:sz w:val="24"/>
          <w:szCs w:val="24"/>
        </w:rPr>
        <w:t xml:space="preserve">referred </w:t>
      </w:r>
      <w:r w:rsidR="00D75B33" w:rsidRPr="006D7427">
        <w:rPr>
          <w:rFonts w:ascii="Times New Roman" w:hAnsi="Times New Roman" w:cs="Times New Roman"/>
          <w:color w:val="000000"/>
          <w:sz w:val="24"/>
          <w:szCs w:val="24"/>
        </w:rPr>
        <w:t xml:space="preserve">to </w:t>
      </w:r>
      <w:r w:rsidR="00D96577">
        <w:rPr>
          <w:rFonts w:ascii="Times New Roman" w:hAnsi="Times New Roman" w:cs="Times New Roman"/>
          <w:color w:val="000000"/>
          <w:sz w:val="24"/>
          <w:szCs w:val="24"/>
        </w:rPr>
        <w:t>five</w:t>
      </w:r>
      <w:r w:rsidR="00D75B33" w:rsidRPr="006D7427">
        <w:rPr>
          <w:rFonts w:ascii="Times New Roman" w:hAnsi="Times New Roman" w:cs="Times New Roman"/>
          <w:color w:val="000000"/>
          <w:sz w:val="24"/>
          <w:szCs w:val="24"/>
        </w:rPr>
        <w:t xml:space="preserve"> submissions per year, </w:t>
      </w:r>
      <w:r w:rsidR="006D7427" w:rsidRPr="006D7427">
        <w:rPr>
          <w:rFonts w:ascii="Times New Roman" w:hAnsi="Times New Roman" w:cs="Times New Roman"/>
          <w:color w:val="000000"/>
          <w:sz w:val="24"/>
          <w:szCs w:val="24"/>
        </w:rPr>
        <w:t xml:space="preserve">when calculating the annual burden; however, </w:t>
      </w:r>
      <w:r w:rsidR="00D75B33" w:rsidRPr="006D7427">
        <w:rPr>
          <w:rFonts w:ascii="Times New Roman" w:hAnsi="Times New Roman" w:cs="Times New Roman"/>
          <w:color w:val="000000"/>
          <w:sz w:val="24"/>
          <w:szCs w:val="24"/>
        </w:rPr>
        <w:t xml:space="preserve">20 U.S.C. 1011f </w:t>
      </w:r>
      <w:r w:rsidR="006D7427" w:rsidRPr="006D7427">
        <w:rPr>
          <w:rFonts w:ascii="Times New Roman" w:hAnsi="Times New Roman" w:cs="Times New Roman"/>
          <w:color w:val="000000"/>
          <w:sz w:val="24"/>
          <w:szCs w:val="24"/>
        </w:rPr>
        <w:t xml:space="preserve">provides that these disclosures need to be made only </w:t>
      </w:r>
      <w:r w:rsidR="00D96577">
        <w:rPr>
          <w:rFonts w:ascii="Times New Roman" w:hAnsi="Times New Roman" w:cs="Times New Roman"/>
          <w:color w:val="000000"/>
          <w:sz w:val="24"/>
          <w:szCs w:val="24"/>
        </w:rPr>
        <w:t>two</w:t>
      </w:r>
      <w:r w:rsidR="00D75B33" w:rsidRPr="006D7427">
        <w:rPr>
          <w:rFonts w:ascii="Times New Roman" w:hAnsi="Times New Roman" w:cs="Times New Roman"/>
          <w:color w:val="000000"/>
          <w:sz w:val="24"/>
          <w:szCs w:val="24"/>
        </w:rPr>
        <w:t xml:space="preserve"> times per year</w:t>
      </w:r>
      <w:r w:rsidR="006D7427" w:rsidRPr="006D7427">
        <w:rPr>
          <w:rFonts w:ascii="Times New Roman" w:hAnsi="Times New Roman" w:cs="Times New Roman"/>
          <w:color w:val="000000"/>
          <w:sz w:val="24"/>
          <w:szCs w:val="24"/>
        </w:rPr>
        <w:t>, at most</w:t>
      </w:r>
      <w:r w:rsidR="00D75B33" w:rsidRPr="006D7427">
        <w:rPr>
          <w:rFonts w:ascii="Times New Roman" w:hAnsi="Times New Roman" w:cs="Times New Roman"/>
          <w:color w:val="000000"/>
          <w:sz w:val="24"/>
          <w:szCs w:val="24"/>
        </w:rPr>
        <w:t xml:space="preserve">.  </w:t>
      </w:r>
      <w:r w:rsidR="00800A8F">
        <w:rPr>
          <w:rFonts w:ascii="Times New Roman" w:hAnsi="Times New Roman" w:cs="Times New Roman"/>
          <w:color w:val="000000"/>
          <w:sz w:val="24"/>
          <w:szCs w:val="24"/>
        </w:rPr>
        <w:t xml:space="preserve">Another commenter asserted that the </w:t>
      </w:r>
      <w:r w:rsidR="00AA1245">
        <w:rPr>
          <w:rFonts w:ascii="Times New Roman" w:hAnsi="Times New Roman" w:cs="Times New Roman"/>
          <w:color w:val="000000"/>
          <w:sz w:val="24"/>
          <w:szCs w:val="24"/>
        </w:rPr>
        <w:t xml:space="preserve">proposed </w:t>
      </w:r>
      <w:r w:rsidR="00800A8F">
        <w:rPr>
          <w:rFonts w:ascii="Times New Roman" w:hAnsi="Times New Roman" w:cs="Times New Roman"/>
          <w:color w:val="000000"/>
          <w:sz w:val="24"/>
          <w:szCs w:val="24"/>
        </w:rPr>
        <w:t xml:space="preserve">estimated time it would take the Department to review the disclosures (2 hours) was also an underestimate.  </w:t>
      </w:r>
    </w:p>
    <w:p w14:paraId="12CEE3AA" w14:textId="2600BC83" w:rsidR="002F4C03" w:rsidRDefault="002F4C03" w:rsidP="00013ADB">
      <w:pPr>
        <w:autoSpaceDE w:val="0"/>
        <w:autoSpaceDN w:val="0"/>
        <w:adjustRightInd w:val="0"/>
        <w:spacing w:after="0" w:line="240" w:lineRule="auto"/>
        <w:rPr>
          <w:rFonts w:ascii="Times New Roman" w:hAnsi="Times New Roman" w:cs="Times New Roman"/>
          <w:sz w:val="24"/>
          <w:szCs w:val="24"/>
        </w:rPr>
      </w:pPr>
    </w:p>
    <w:p w14:paraId="054CB992" w14:textId="72137EE3" w:rsidR="002F4C03" w:rsidRDefault="002F4C03" w:rsidP="009417EA">
      <w:pPr>
        <w:pStyle w:val="CommentText"/>
        <w:spacing w:after="0"/>
        <w:rPr>
          <w:rFonts w:ascii="Times New Roman" w:hAnsi="Times New Roman" w:cs="Times New Roman"/>
          <w:sz w:val="24"/>
          <w:szCs w:val="24"/>
        </w:rPr>
      </w:pPr>
      <w:r w:rsidRPr="002F4C03">
        <w:rPr>
          <w:rFonts w:ascii="Times New Roman" w:hAnsi="Times New Roman" w:cs="Times New Roman"/>
          <w:b/>
          <w:bCs/>
          <w:sz w:val="24"/>
          <w:szCs w:val="24"/>
        </w:rPr>
        <w:t>Responses</w:t>
      </w:r>
      <w:r>
        <w:rPr>
          <w:rFonts w:ascii="Times New Roman" w:hAnsi="Times New Roman" w:cs="Times New Roman"/>
          <w:sz w:val="24"/>
          <w:szCs w:val="24"/>
        </w:rPr>
        <w:t>:</w:t>
      </w:r>
      <w:r w:rsidR="001D7D8A">
        <w:rPr>
          <w:rFonts w:ascii="Times New Roman" w:hAnsi="Times New Roman" w:cs="Times New Roman"/>
          <w:sz w:val="24"/>
          <w:szCs w:val="24"/>
        </w:rPr>
        <w:t xml:space="preserve">  </w:t>
      </w:r>
      <w:r w:rsidR="001D7D8A" w:rsidRPr="00773152">
        <w:rPr>
          <w:rFonts w:ascii="Times New Roman" w:hAnsi="Times New Roman" w:cs="Times New Roman"/>
          <w:sz w:val="24"/>
          <w:szCs w:val="24"/>
        </w:rPr>
        <w:t>We appreciate</w:t>
      </w:r>
      <w:r w:rsidR="00800A8F" w:rsidRPr="00773152">
        <w:rPr>
          <w:rFonts w:ascii="Times New Roman" w:hAnsi="Times New Roman" w:cs="Times New Roman"/>
          <w:sz w:val="24"/>
          <w:szCs w:val="24"/>
        </w:rPr>
        <w:t xml:space="preserve"> the commenters’</w:t>
      </w:r>
      <w:r w:rsidR="001D7D8A" w:rsidRPr="00773152">
        <w:rPr>
          <w:rFonts w:ascii="Times New Roman" w:hAnsi="Times New Roman" w:cs="Times New Roman"/>
          <w:sz w:val="24"/>
          <w:szCs w:val="24"/>
        </w:rPr>
        <w:t xml:space="preserve"> concern about </w:t>
      </w:r>
      <w:r w:rsidR="00800A8F" w:rsidRPr="00773152">
        <w:rPr>
          <w:rFonts w:ascii="Times New Roman" w:hAnsi="Times New Roman" w:cs="Times New Roman"/>
          <w:sz w:val="24"/>
          <w:szCs w:val="24"/>
        </w:rPr>
        <w:t xml:space="preserve">the amount of </w:t>
      </w:r>
      <w:r w:rsidR="001D7D8A" w:rsidRPr="00773152">
        <w:rPr>
          <w:rFonts w:ascii="Times New Roman" w:hAnsi="Times New Roman" w:cs="Times New Roman"/>
          <w:sz w:val="24"/>
          <w:szCs w:val="24"/>
        </w:rPr>
        <w:t xml:space="preserve">burden </w:t>
      </w:r>
      <w:r w:rsidR="00800A8F" w:rsidRPr="00773152">
        <w:rPr>
          <w:rFonts w:ascii="Times New Roman" w:hAnsi="Times New Roman" w:cs="Times New Roman"/>
          <w:sz w:val="24"/>
          <w:szCs w:val="24"/>
        </w:rPr>
        <w:t>that may be associated with this disclosure</w:t>
      </w:r>
      <w:r w:rsidR="00A32A22">
        <w:rPr>
          <w:rFonts w:ascii="Times New Roman" w:hAnsi="Times New Roman" w:cs="Times New Roman"/>
          <w:sz w:val="24"/>
          <w:szCs w:val="24"/>
        </w:rPr>
        <w:t xml:space="preserve">.  Initially, we </w:t>
      </w:r>
      <w:r w:rsidR="00AA1245">
        <w:rPr>
          <w:rFonts w:ascii="Times New Roman" w:hAnsi="Times New Roman" w:cs="Times New Roman"/>
          <w:sz w:val="24"/>
          <w:szCs w:val="24"/>
        </w:rPr>
        <w:t xml:space="preserve">recognize </w:t>
      </w:r>
      <w:r w:rsidR="00A32A22">
        <w:rPr>
          <w:rFonts w:ascii="Times New Roman" w:hAnsi="Times New Roman" w:cs="Times New Roman"/>
          <w:sz w:val="24"/>
          <w:szCs w:val="24"/>
        </w:rPr>
        <w:t>that although the Department has been collecting this information through the e-</w:t>
      </w:r>
      <w:r w:rsidR="00AA1245">
        <w:rPr>
          <w:rFonts w:ascii="Times New Roman" w:hAnsi="Times New Roman" w:cs="Times New Roman"/>
          <w:sz w:val="24"/>
          <w:szCs w:val="24"/>
        </w:rPr>
        <w:t>A</w:t>
      </w:r>
      <w:r w:rsidR="00A32A22">
        <w:rPr>
          <w:rFonts w:ascii="Times New Roman" w:hAnsi="Times New Roman" w:cs="Times New Roman"/>
          <w:sz w:val="24"/>
          <w:szCs w:val="24"/>
        </w:rPr>
        <w:t xml:space="preserve">pplication information collection, these are first-time burden estimates for the collection of this information through a stand-alone information collection vehicle.  As with all information collections, we will revise these estimates if needed over time as the Department and </w:t>
      </w:r>
      <w:r w:rsidR="006A6F2F">
        <w:rPr>
          <w:rFonts w:ascii="Times New Roman" w:hAnsi="Times New Roman" w:cs="Times New Roman"/>
          <w:sz w:val="24"/>
          <w:szCs w:val="24"/>
        </w:rPr>
        <w:t>institution</w:t>
      </w:r>
      <w:r w:rsidR="00A32A22">
        <w:rPr>
          <w:rFonts w:ascii="Times New Roman" w:hAnsi="Times New Roman" w:cs="Times New Roman"/>
          <w:sz w:val="24"/>
          <w:szCs w:val="24"/>
        </w:rPr>
        <w:t xml:space="preserve">s gain experience.  We also note that the estimates reflect average burden estimates and </w:t>
      </w:r>
      <w:r w:rsidR="00AA1245">
        <w:rPr>
          <w:rFonts w:ascii="Times New Roman" w:hAnsi="Times New Roman" w:cs="Times New Roman"/>
          <w:sz w:val="24"/>
          <w:szCs w:val="24"/>
        </w:rPr>
        <w:t xml:space="preserve">may </w:t>
      </w:r>
      <w:r w:rsidR="00A32A22">
        <w:rPr>
          <w:rFonts w:ascii="Times New Roman" w:hAnsi="Times New Roman" w:cs="Times New Roman"/>
          <w:sz w:val="24"/>
          <w:szCs w:val="24"/>
        </w:rPr>
        <w:t xml:space="preserve">not reflect the variance in time and resources needed for some </w:t>
      </w:r>
      <w:r w:rsidR="006A6F2F">
        <w:rPr>
          <w:rFonts w:ascii="Times New Roman" w:hAnsi="Times New Roman" w:cs="Times New Roman"/>
          <w:sz w:val="24"/>
          <w:szCs w:val="24"/>
        </w:rPr>
        <w:t>institution</w:t>
      </w:r>
      <w:r w:rsidR="00A32A22">
        <w:rPr>
          <w:rFonts w:ascii="Times New Roman" w:hAnsi="Times New Roman" w:cs="Times New Roman"/>
          <w:sz w:val="24"/>
          <w:szCs w:val="24"/>
        </w:rPr>
        <w:t>s vis a vis other</w:t>
      </w:r>
      <w:r w:rsidR="001B367F">
        <w:rPr>
          <w:rFonts w:ascii="Times New Roman" w:hAnsi="Times New Roman" w:cs="Times New Roman"/>
          <w:sz w:val="24"/>
          <w:szCs w:val="24"/>
        </w:rPr>
        <w:t>s</w:t>
      </w:r>
      <w:r w:rsidR="00A32A22">
        <w:rPr>
          <w:rFonts w:ascii="Times New Roman" w:hAnsi="Times New Roman" w:cs="Times New Roman"/>
          <w:sz w:val="24"/>
          <w:szCs w:val="24"/>
        </w:rPr>
        <w:t>.  As for the commenters who asserted that this collection of information would be costly because it would require</w:t>
      </w:r>
      <w:r w:rsidR="00C336D0">
        <w:rPr>
          <w:rFonts w:ascii="Times New Roman" w:hAnsi="Times New Roman" w:cs="Times New Roman"/>
          <w:sz w:val="24"/>
          <w:szCs w:val="24"/>
        </w:rPr>
        <w:t xml:space="preserve"> </w:t>
      </w:r>
      <w:r w:rsidR="006A6F2F">
        <w:rPr>
          <w:rFonts w:ascii="Times New Roman" w:hAnsi="Times New Roman" w:cs="Times New Roman"/>
          <w:sz w:val="24"/>
          <w:szCs w:val="24"/>
        </w:rPr>
        <w:t>institution</w:t>
      </w:r>
      <w:r w:rsidR="00C336D0">
        <w:rPr>
          <w:rFonts w:ascii="Times New Roman" w:hAnsi="Times New Roman" w:cs="Times New Roman"/>
          <w:sz w:val="24"/>
          <w:szCs w:val="24"/>
        </w:rPr>
        <w:t xml:space="preserve">s to update their systems and paperwork in order to have the information sought, our investigations thus far show that </w:t>
      </w:r>
      <w:r w:rsidR="006A6F2F">
        <w:rPr>
          <w:rFonts w:ascii="Times New Roman" w:hAnsi="Times New Roman" w:cs="Times New Roman"/>
          <w:sz w:val="24"/>
          <w:szCs w:val="24"/>
        </w:rPr>
        <w:t>institution</w:t>
      </w:r>
      <w:r w:rsidR="00C336D0">
        <w:rPr>
          <w:rFonts w:ascii="Times New Roman" w:hAnsi="Times New Roman" w:cs="Times New Roman"/>
          <w:sz w:val="24"/>
          <w:szCs w:val="24"/>
        </w:rPr>
        <w:t xml:space="preserve">s generally </w:t>
      </w:r>
      <w:r w:rsidR="00F73CB6">
        <w:rPr>
          <w:rFonts w:ascii="Times New Roman" w:hAnsi="Times New Roman" w:cs="Times New Roman"/>
          <w:sz w:val="24"/>
          <w:szCs w:val="24"/>
        </w:rPr>
        <w:t xml:space="preserve">already </w:t>
      </w:r>
      <w:r w:rsidR="00C336D0">
        <w:rPr>
          <w:rFonts w:ascii="Times New Roman" w:hAnsi="Times New Roman" w:cs="Times New Roman"/>
          <w:sz w:val="24"/>
          <w:szCs w:val="24"/>
        </w:rPr>
        <w:t xml:space="preserve">have </w:t>
      </w:r>
      <w:r w:rsidR="007E084D">
        <w:rPr>
          <w:rFonts w:ascii="Times New Roman" w:hAnsi="Times New Roman" w:cs="Times New Roman"/>
          <w:sz w:val="24"/>
          <w:szCs w:val="24"/>
        </w:rPr>
        <w:t xml:space="preserve">ready access to </w:t>
      </w:r>
      <w:r w:rsidR="00C336D0">
        <w:rPr>
          <w:rFonts w:ascii="Times New Roman" w:hAnsi="Times New Roman" w:cs="Times New Roman"/>
          <w:sz w:val="24"/>
          <w:szCs w:val="24"/>
        </w:rPr>
        <w:t>the information needed to make the</w:t>
      </w:r>
      <w:r w:rsidR="00D96577">
        <w:rPr>
          <w:rFonts w:ascii="Times New Roman" w:hAnsi="Times New Roman" w:cs="Times New Roman"/>
          <w:sz w:val="24"/>
          <w:szCs w:val="24"/>
        </w:rPr>
        <w:t xml:space="preserve"> statutory</w:t>
      </w:r>
      <w:r w:rsidR="00C336D0">
        <w:rPr>
          <w:rFonts w:ascii="Times New Roman" w:hAnsi="Times New Roman" w:cs="Times New Roman"/>
          <w:sz w:val="24"/>
          <w:szCs w:val="24"/>
        </w:rPr>
        <w:t xml:space="preserve"> disclosures.  Furthermore, 20 U.S.C. 1011f has required the disclosure of gifts </w:t>
      </w:r>
      <w:r w:rsidR="00920753">
        <w:rPr>
          <w:rFonts w:ascii="Times New Roman" w:hAnsi="Times New Roman" w:cs="Times New Roman"/>
          <w:sz w:val="24"/>
          <w:szCs w:val="24"/>
        </w:rPr>
        <w:t xml:space="preserve">from </w:t>
      </w:r>
      <w:r w:rsidR="00C336D0">
        <w:rPr>
          <w:rFonts w:ascii="Times New Roman" w:hAnsi="Times New Roman" w:cs="Times New Roman"/>
          <w:sz w:val="24"/>
          <w:szCs w:val="24"/>
        </w:rPr>
        <w:t xml:space="preserve">and contracts </w:t>
      </w:r>
      <w:r w:rsidR="00920753">
        <w:rPr>
          <w:rFonts w:ascii="Times New Roman" w:hAnsi="Times New Roman" w:cs="Times New Roman"/>
          <w:sz w:val="24"/>
          <w:szCs w:val="24"/>
        </w:rPr>
        <w:t xml:space="preserve">with </w:t>
      </w:r>
      <w:r w:rsidR="00C336D0">
        <w:rPr>
          <w:rFonts w:ascii="Times New Roman" w:hAnsi="Times New Roman" w:cs="Times New Roman"/>
          <w:sz w:val="24"/>
          <w:szCs w:val="24"/>
        </w:rPr>
        <w:t xml:space="preserve">foreign sources for many years now and the Department has </w:t>
      </w:r>
      <w:r w:rsidR="00F73CB6">
        <w:rPr>
          <w:rFonts w:ascii="Times New Roman" w:hAnsi="Times New Roman" w:cs="Times New Roman"/>
          <w:sz w:val="24"/>
          <w:szCs w:val="24"/>
        </w:rPr>
        <w:t xml:space="preserve">had a mechanism in place to </w:t>
      </w:r>
      <w:r w:rsidR="00C336D0">
        <w:rPr>
          <w:rFonts w:ascii="Times New Roman" w:hAnsi="Times New Roman" w:cs="Times New Roman"/>
          <w:sz w:val="24"/>
          <w:szCs w:val="24"/>
        </w:rPr>
        <w:t>collect this data through the e-</w:t>
      </w:r>
      <w:r w:rsidR="00AA1245">
        <w:rPr>
          <w:rFonts w:ascii="Times New Roman" w:hAnsi="Times New Roman" w:cs="Times New Roman"/>
          <w:sz w:val="24"/>
          <w:szCs w:val="24"/>
        </w:rPr>
        <w:t>Application</w:t>
      </w:r>
      <w:r w:rsidR="00C336D0">
        <w:rPr>
          <w:rFonts w:ascii="Times New Roman" w:hAnsi="Times New Roman" w:cs="Times New Roman"/>
          <w:sz w:val="24"/>
          <w:szCs w:val="24"/>
        </w:rPr>
        <w:t xml:space="preserve">.  Thus, </w:t>
      </w:r>
      <w:r w:rsidR="00E25D9A">
        <w:rPr>
          <w:rFonts w:ascii="Times New Roman" w:hAnsi="Times New Roman" w:cs="Times New Roman"/>
          <w:sz w:val="24"/>
          <w:szCs w:val="24"/>
        </w:rPr>
        <w:t xml:space="preserve">we believe that institutions are already tracking this money through their existing financial systems.  </w:t>
      </w:r>
      <w:r w:rsidR="00F231EB" w:rsidRPr="00A02572">
        <w:rPr>
          <w:rFonts w:ascii="Times New Roman" w:hAnsi="Times New Roman" w:cs="Times New Roman"/>
          <w:sz w:val="24"/>
          <w:szCs w:val="24"/>
        </w:rPr>
        <w:t>To the extent that an institution cannot pull the information necessary to discharge their statutory disclosure obligations from its existing financial systems and related processes, that may signal deficiencies in the institution’s internal control over financial reporting that merits attention from those charged with governance</w:t>
      </w:r>
      <w:r w:rsidR="00C336D0">
        <w:rPr>
          <w:rFonts w:ascii="Times New Roman" w:hAnsi="Times New Roman" w:cs="Times New Roman"/>
          <w:sz w:val="24"/>
          <w:szCs w:val="24"/>
        </w:rPr>
        <w:t xml:space="preserve">.  With that said, </w:t>
      </w:r>
      <w:r w:rsidR="001B367F">
        <w:rPr>
          <w:rFonts w:ascii="Times New Roman" w:hAnsi="Times New Roman" w:cs="Times New Roman"/>
          <w:sz w:val="24"/>
          <w:szCs w:val="24"/>
        </w:rPr>
        <w:t xml:space="preserve">based on consideration of public comment and internal deliberation, </w:t>
      </w:r>
      <w:r w:rsidR="00C336D0">
        <w:rPr>
          <w:rFonts w:ascii="Times New Roman" w:hAnsi="Times New Roman" w:cs="Times New Roman"/>
          <w:sz w:val="24"/>
          <w:szCs w:val="24"/>
        </w:rPr>
        <w:t xml:space="preserve">the Department </w:t>
      </w:r>
      <w:r w:rsidR="00E25D9A">
        <w:rPr>
          <w:rFonts w:ascii="Times New Roman" w:hAnsi="Times New Roman" w:cs="Times New Roman"/>
          <w:sz w:val="24"/>
          <w:szCs w:val="24"/>
        </w:rPr>
        <w:t>has doubled the amount of time we estimate an institution</w:t>
      </w:r>
      <w:r w:rsidR="00C336D0">
        <w:rPr>
          <w:rFonts w:ascii="Times New Roman" w:hAnsi="Times New Roman" w:cs="Times New Roman"/>
          <w:sz w:val="24"/>
          <w:szCs w:val="24"/>
        </w:rPr>
        <w:t xml:space="preserve"> will need to disclose the information covered in the new, stand-alone collection vehicle</w:t>
      </w:r>
      <w:r w:rsidR="00AA1245">
        <w:rPr>
          <w:rFonts w:ascii="Times New Roman" w:hAnsi="Times New Roman" w:cs="Times New Roman"/>
          <w:sz w:val="24"/>
          <w:szCs w:val="24"/>
        </w:rPr>
        <w:t xml:space="preserve"> from 10 hours to </w:t>
      </w:r>
      <w:r w:rsidR="003929AF">
        <w:rPr>
          <w:rFonts w:ascii="Times New Roman" w:hAnsi="Times New Roman" w:cs="Times New Roman"/>
          <w:sz w:val="24"/>
          <w:szCs w:val="24"/>
        </w:rPr>
        <w:t xml:space="preserve">20 </w:t>
      </w:r>
      <w:r w:rsidR="00AA1245">
        <w:rPr>
          <w:rFonts w:ascii="Times New Roman" w:hAnsi="Times New Roman" w:cs="Times New Roman"/>
          <w:sz w:val="24"/>
          <w:szCs w:val="24"/>
        </w:rPr>
        <w:t>hours per response</w:t>
      </w:r>
      <w:r w:rsidR="0046280C">
        <w:rPr>
          <w:rFonts w:ascii="Times New Roman" w:hAnsi="Times New Roman" w:cs="Times New Roman"/>
          <w:sz w:val="24"/>
          <w:szCs w:val="24"/>
        </w:rPr>
        <w:t xml:space="preserve">.  </w:t>
      </w:r>
      <w:r w:rsidR="003929AF">
        <w:rPr>
          <w:rFonts w:ascii="Times New Roman" w:hAnsi="Times New Roman" w:cs="Times New Roman"/>
          <w:sz w:val="24"/>
          <w:szCs w:val="24"/>
        </w:rPr>
        <w:t>The Department does not expect its internal review processes to change as a result of moving this disclosure report from the e-</w:t>
      </w:r>
      <w:r w:rsidR="006F048A">
        <w:rPr>
          <w:rFonts w:ascii="Times New Roman" w:hAnsi="Times New Roman" w:cs="Times New Roman"/>
          <w:sz w:val="24"/>
          <w:szCs w:val="24"/>
        </w:rPr>
        <w:t>A</w:t>
      </w:r>
      <w:r w:rsidR="003929AF">
        <w:rPr>
          <w:rFonts w:ascii="Times New Roman" w:hAnsi="Times New Roman" w:cs="Times New Roman"/>
          <w:sz w:val="24"/>
          <w:szCs w:val="24"/>
        </w:rPr>
        <w:t xml:space="preserve">pp to a stand-alone form and, therefore, we still estimate that it will take the Department </w:t>
      </w:r>
      <w:r w:rsidR="001B367F">
        <w:rPr>
          <w:rFonts w:ascii="Times New Roman" w:hAnsi="Times New Roman" w:cs="Times New Roman"/>
          <w:sz w:val="24"/>
          <w:szCs w:val="24"/>
        </w:rPr>
        <w:t>two</w:t>
      </w:r>
      <w:r w:rsidR="003929AF">
        <w:rPr>
          <w:rFonts w:ascii="Times New Roman" w:hAnsi="Times New Roman" w:cs="Times New Roman"/>
          <w:sz w:val="24"/>
          <w:szCs w:val="24"/>
        </w:rPr>
        <w:t xml:space="preserve"> hours</w:t>
      </w:r>
      <w:r w:rsidR="00F73CB6">
        <w:rPr>
          <w:rFonts w:ascii="Times New Roman" w:hAnsi="Times New Roman" w:cs="Times New Roman"/>
          <w:sz w:val="24"/>
          <w:szCs w:val="24"/>
        </w:rPr>
        <w:t xml:space="preserve"> to review the disclosures submitted through this information collection.  </w:t>
      </w:r>
      <w:r w:rsidR="0046280C">
        <w:rPr>
          <w:rFonts w:ascii="Times New Roman" w:hAnsi="Times New Roman" w:cs="Times New Roman"/>
          <w:sz w:val="24"/>
          <w:szCs w:val="24"/>
        </w:rPr>
        <w:t xml:space="preserve">Regarding the comment on whether the </w:t>
      </w:r>
      <w:r w:rsidR="00D96577">
        <w:rPr>
          <w:rFonts w:ascii="Times New Roman" w:hAnsi="Times New Roman" w:cs="Times New Roman"/>
          <w:sz w:val="24"/>
          <w:szCs w:val="24"/>
        </w:rPr>
        <w:t>five</w:t>
      </w:r>
      <w:r w:rsidR="0046280C">
        <w:rPr>
          <w:rFonts w:ascii="Times New Roman" w:hAnsi="Times New Roman" w:cs="Times New Roman"/>
          <w:sz w:val="24"/>
          <w:szCs w:val="24"/>
        </w:rPr>
        <w:t xml:space="preserve"> submissions captured in our burden estimate conflicts with the statutory requirement to submit this information to the Department </w:t>
      </w:r>
      <w:r w:rsidR="00F73CB6">
        <w:rPr>
          <w:rFonts w:ascii="Times New Roman" w:hAnsi="Times New Roman" w:cs="Times New Roman"/>
          <w:sz w:val="24"/>
          <w:szCs w:val="24"/>
        </w:rPr>
        <w:t>only</w:t>
      </w:r>
      <w:r w:rsidR="0046280C">
        <w:rPr>
          <w:rFonts w:ascii="Times New Roman" w:hAnsi="Times New Roman" w:cs="Times New Roman"/>
          <w:sz w:val="24"/>
          <w:szCs w:val="24"/>
        </w:rPr>
        <w:t xml:space="preserve"> twice per year, we wish to clarify that the </w:t>
      </w:r>
      <w:r w:rsidR="00D96577">
        <w:rPr>
          <w:rFonts w:ascii="Times New Roman" w:hAnsi="Times New Roman" w:cs="Times New Roman"/>
          <w:sz w:val="24"/>
          <w:szCs w:val="24"/>
        </w:rPr>
        <w:t>five</w:t>
      </w:r>
      <w:r w:rsidR="0046280C">
        <w:rPr>
          <w:rFonts w:ascii="Times New Roman" w:hAnsi="Times New Roman" w:cs="Times New Roman"/>
          <w:sz w:val="24"/>
          <w:szCs w:val="24"/>
        </w:rPr>
        <w:t xml:space="preserve"> submissions were meant to </w:t>
      </w:r>
      <w:r w:rsidR="00920753">
        <w:rPr>
          <w:rFonts w:ascii="Times New Roman" w:hAnsi="Times New Roman" w:cs="Times New Roman"/>
          <w:sz w:val="24"/>
          <w:szCs w:val="24"/>
        </w:rPr>
        <w:t>reflect transactions involving</w:t>
      </w:r>
      <w:r w:rsidR="0046280C">
        <w:rPr>
          <w:rFonts w:ascii="Times New Roman" w:hAnsi="Times New Roman" w:cs="Times New Roman"/>
          <w:sz w:val="24"/>
          <w:szCs w:val="24"/>
        </w:rPr>
        <w:t xml:space="preserve"> five different foreign sources</w:t>
      </w:r>
      <w:r w:rsidR="00F73CB6">
        <w:rPr>
          <w:rFonts w:ascii="Times New Roman" w:hAnsi="Times New Roman" w:cs="Times New Roman"/>
          <w:sz w:val="24"/>
          <w:szCs w:val="24"/>
        </w:rPr>
        <w:t xml:space="preserve"> and not how many times each year an </w:t>
      </w:r>
      <w:r w:rsidR="006A6F2F">
        <w:rPr>
          <w:rFonts w:ascii="Times New Roman" w:hAnsi="Times New Roman" w:cs="Times New Roman"/>
          <w:sz w:val="24"/>
          <w:szCs w:val="24"/>
        </w:rPr>
        <w:t>institution</w:t>
      </w:r>
      <w:r w:rsidR="00F73CB6">
        <w:rPr>
          <w:rFonts w:ascii="Times New Roman" w:hAnsi="Times New Roman" w:cs="Times New Roman"/>
          <w:sz w:val="24"/>
          <w:szCs w:val="24"/>
        </w:rPr>
        <w:t xml:space="preserve"> would submit this information to the Department.  A</w:t>
      </w:r>
      <w:r w:rsidR="0046280C">
        <w:rPr>
          <w:rFonts w:ascii="Times New Roman" w:hAnsi="Times New Roman" w:cs="Times New Roman"/>
          <w:sz w:val="24"/>
          <w:szCs w:val="24"/>
        </w:rPr>
        <w:t xml:space="preserve">n </w:t>
      </w:r>
      <w:r w:rsidR="006A6F2F">
        <w:rPr>
          <w:rFonts w:ascii="Times New Roman" w:hAnsi="Times New Roman" w:cs="Times New Roman"/>
          <w:sz w:val="24"/>
          <w:szCs w:val="24"/>
        </w:rPr>
        <w:t>institution</w:t>
      </w:r>
      <w:r w:rsidR="0046280C">
        <w:rPr>
          <w:rFonts w:ascii="Times New Roman" w:hAnsi="Times New Roman" w:cs="Times New Roman"/>
          <w:sz w:val="24"/>
          <w:szCs w:val="24"/>
        </w:rPr>
        <w:t xml:space="preserve"> may </w:t>
      </w:r>
      <w:r w:rsidR="00B81AC3">
        <w:rPr>
          <w:rFonts w:ascii="Times New Roman" w:hAnsi="Times New Roman" w:cs="Times New Roman"/>
          <w:sz w:val="24"/>
          <w:szCs w:val="24"/>
        </w:rPr>
        <w:t>have</w:t>
      </w:r>
      <w:r w:rsidR="0046280C">
        <w:rPr>
          <w:rFonts w:ascii="Times New Roman" w:hAnsi="Times New Roman" w:cs="Times New Roman"/>
          <w:sz w:val="24"/>
          <w:szCs w:val="24"/>
        </w:rPr>
        <w:t xml:space="preserve"> more than one </w:t>
      </w:r>
      <w:r w:rsidR="00B81AC3">
        <w:rPr>
          <w:rFonts w:ascii="Times New Roman" w:hAnsi="Times New Roman" w:cs="Times New Roman"/>
          <w:sz w:val="24"/>
          <w:szCs w:val="24"/>
        </w:rPr>
        <w:t>response as part of its entire submission for</w:t>
      </w:r>
      <w:r w:rsidR="0046280C">
        <w:rPr>
          <w:rFonts w:ascii="Times New Roman" w:hAnsi="Times New Roman" w:cs="Times New Roman"/>
          <w:sz w:val="24"/>
          <w:szCs w:val="24"/>
        </w:rPr>
        <w:t xml:space="preserve"> </w:t>
      </w:r>
      <w:r w:rsidR="00F73CB6">
        <w:rPr>
          <w:rFonts w:ascii="Times New Roman" w:hAnsi="Times New Roman" w:cs="Times New Roman"/>
          <w:sz w:val="24"/>
          <w:szCs w:val="24"/>
        </w:rPr>
        <w:t>one of the two reporting deadlines each year (</w:t>
      </w:r>
      <w:r w:rsidR="0046280C">
        <w:rPr>
          <w:rFonts w:ascii="Times New Roman" w:hAnsi="Times New Roman" w:cs="Times New Roman"/>
          <w:sz w:val="24"/>
          <w:szCs w:val="24"/>
        </w:rPr>
        <w:t>January 31 or July 31</w:t>
      </w:r>
      <w:r w:rsidR="00F73CB6">
        <w:rPr>
          <w:rFonts w:ascii="Times New Roman" w:hAnsi="Times New Roman" w:cs="Times New Roman"/>
          <w:sz w:val="24"/>
          <w:szCs w:val="24"/>
        </w:rPr>
        <w:t>)</w:t>
      </w:r>
      <w:r w:rsidR="0046280C">
        <w:rPr>
          <w:rFonts w:ascii="Times New Roman" w:hAnsi="Times New Roman" w:cs="Times New Roman"/>
          <w:sz w:val="24"/>
          <w:szCs w:val="24"/>
        </w:rPr>
        <w:t xml:space="preserve">, if the </w:t>
      </w:r>
      <w:r w:rsidR="006A6F2F">
        <w:rPr>
          <w:rFonts w:ascii="Times New Roman" w:hAnsi="Times New Roman" w:cs="Times New Roman"/>
          <w:sz w:val="24"/>
          <w:szCs w:val="24"/>
        </w:rPr>
        <w:t>institution</w:t>
      </w:r>
      <w:r w:rsidR="0046280C">
        <w:rPr>
          <w:rFonts w:ascii="Times New Roman" w:hAnsi="Times New Roman" w:cs="Times New Roman"/>
          <w:sz w:val="24"/>
          <w:szCs w:val="24"/>
        </w:rPr>
        <w:t xml:space="preserve"> received a gift or contract that met the $250,000 threshold from more than one foreign source.  </w:t>
      </w:r>
      <w:r w:rsidR="000725DA" w:rsidRPr="00773152">
        <w:rPr>
          <w:rFonts w:ascii="Times New Roman" w:hAnsi="Times New Roman" w:cs="Times New Roman"/>
          <w:sz w:val="24"/>
          <w:szCs w:val="24"/>
        </w:rPr>
        <w:t xml:space="preserve"> </w:t>
      </w:r>
    </w:p>
    <w:bookmarkEnd w:id="11"/>
    <w:p w14:paraId="2949FD54" w14:textId="16884FEB" w:rsidR="002F4C03" w:rsidRDefault="002F4C03" w:rsidP="00013ADB">
      <w:pPr>
        <w:autoSpaceDE w:val="0"/>
        <w:autoSpaceDN w:val="0"/>
        <w:adjustRightInd w:val="0"/>
        <w:spacing w:after="0" w:line="240" w:lineRule="auto"/>
        <w:rPr>
          <w:rFonts w:ascii="Times New Roman" w:hAnsi="Times New Roman" w:cs="Times New Roman"/>
          <w:sz w:val="24"/>
          <w:szCs w:val="24"/>
        </w:rPr>
      </w:pPr>
    </w:p>
    <w:p w14:paraId="066E9A08" w14:textId="061F38EF" w:rsidR="002F4C03" w:rsidRDefault="002F4C03" w:rsidP="00013ADB">
      <w:pPr>
        <w:autoSpaceDE w:val="0"/>
        <w:autoSpaceDN w:val="0"/>
        <w:adjustRightInd w:val="0"/>
        <w:spacing w:after="0" w:line="240" w:lineRule="auto"/>
        <w:rPr>
          <w:rFonts w:ascii="Times New Roman" w:hAnsi="Times New Roman" w:cs="Times New Roman"/>
          <w:sz w:val="24"/>
          <w:szCs w:val="24"/>
        </w:rPr>
      </w:pPr>
      <w:r w:rsidRPr="002F4C03">
        <w:rPr>
          <w:rFonts w:ascii="Times New Roman" w:hAnsi="Times New Roman" w:cs="Times New Roman"/>
          <w:b/>
          <w:bCs/>
          <w:sz w:val="24"/>
          <w:szCs w:val="24"/>
        </w:rPr>
        <w:t>Changes</w:t>
      </w:r>
      <w:r>
        <w:rPr>
          <w:rFonts w:ascii="Times New Roman" w:hAnsi="Times New Roman" w:cs="Times New Roman"/>
          <w:sz w:val="24"/>
          <w:szCs w:val="24"/>
        </w:rPr>
        <w:t>:</w:t>
      </w:r>
      <w:r w:rsidR="001B367F">
        <w:rPr>
          <w:rFonts w:ascii="Times New Roman" w:hAnsi="Times New Roman" w:cs="Times New Roman"/>
          <w:sz w:val="24"/>
          <w:szCs w:val="24"/>
        </w:rPr>
        <w:t xml:space="preserve">  We are revising the instrument and supporting statement to reflect 20 hours of burden.</w:t>
      </w:r>
    </w:p>
    <w:p w14:paraId="1CD46CE1" w14:textId="77777777" w:rsidR="00013ADB" w:rsidRPr="00773152" w:rsidRDefault="00013ADB" w:rsidP="00013ADB">
      <w:pPr>
        <w:autoSpaceDE w:val="0"/>
        <w:autoSpaceDN w:val="0"/>
        <w:adjustRightInd w:val="0"/>
        <w:spacing w:after="0" w:line="240" w:lineRule="auto"/>
        <w:rPr>
          <w:rFonts w:ascii="Times New Roman" w:hAnsi="Times New Roman" w:cs="Times New Roman"/>
          <w:sz w:val="24"/>
          <w:szCs w:val="24"/>
        </w:rPr>
      </w:pPr>
    </w:p>
    <w:p w14:paraId="5F6CE44A" w14:textId="3D11CD6E" w:rsidR="00AD7DDE" w:rsidRPr="00773152" w:rsidRDefault="00AD7DDE" w:rsidP="002F7186">
      <w:pPr>
        <w:rPr>
          <w:rFonts w:ascii="Times New Roman" w:hAnsi="Times New Roman" w:cs="Times New Roman"/>
          <w:b/>
          <w:sz w:val="24"/>
          <w:szCs w:val="24"/>
        </w:rPr>
      </w:pPr>
      <w:r w:rsidRPr="00773152">
        <w:rPr>
          <w:rFonts w:ascii="Times New Roman" w:hAnsi="Times New Roman" w:cs="Times New Roman"/>
          <w:b/>
          <w:sz w:val="24"/>
          <w:szCs w:val="24"/>
        </w:rPr>
        <w:t>Definition of Restricted or Conditional Gift</w:t>
      </w:r>
      <w:r w:rsidR="009F0963">
        <w:rPr>
          <w:rFonts w:ascii="Times New Roman" w:hAnsi="Times New Roman" w:cs="Times New Roman"/>
          <w:b/>
          <w:sz w:val="24"/>
          <w:szCs w:val="24"/>
        </w:rPr>
        <w:t xml:space="preserve"> or Contract</w:t>
      </w:r>
    </w:p>
    <w:p w14:paraId="77A177AB" w14:textId="70F7B29D" w:rsidR="00146FA0" w:rsidRPr="00773152" w:rsidRDefault="00AD7DDE" w:rsidP="00146FA0">
      <w:pPr>
        <w:autoSpaceDE w:val="0"/>
        <w:autoSpaceDN w:val="0"/>
        <w:adjustRightInd w:val="0"/>
        <w:spacing w:after="0" w:line="240" w:lineRule="auto"/>
        <w:rPr>
          <w:rFonts w:ascii="Times New Roman" w:hAnsi="Times New Roman" w:cs="Times New Roman"/>
          <w:sz w:val="24"/>
          <w:szCs w:val="24"/>
        </w:rPr>
      </w:pPr>
      <w:r w:rsidRPr="00773152">
        <w:rPr>
          <w:rFonts w:ascii="Times New Roman" w:hAnsi="Times New Roman" w:cs="Times New Roman"/>
          <w:b/>
          <w:sz w:val="24"/>
          <w:szCs w:val="24"/>
        </w:rPr>
        <w:t>Comments</w:t>
      </w:r>
      <w:r w:rsidRPr="00773152">
        <w:rPr>
          <w:rFonts w:ascii="Times New Roman" w:hAnsi="Times New Roman" w:cs="Times New Roman"/>
          <w:sz w:val="24"/>
          <w:szCs w:val="24"/>
        </w:rPr>
        <w:t xml:space="preserve">:  </w:t>
      </w:r>
      <w:r w:rsidR="009B42E4" w:rsidRPr="00773152">
        <w:rPr>
          <w:rFonts w:ascii="Times New Roman" w:hAnsi="Times New Roman" w:cs="Times New Roman"/>
          <w:sz w:val="24"/>
          <w:szCs w:val="24"/>
        </w:rPr>
        <w:t xml:space="preserve"> Some commenters asserted that the</w:t>
      </w:r>
      <w:r w:rsidRPr="00773152">
        <w:rPr>
          <w:rFonts w:ascii="Times New Roman" w:hAnsi="Times New Roman" w:cs="Times New Roman"/>
          <w:sz w:val="24"/>
          <w:szCs w:val="24"/>
        </w:rPr>
        <w:t xml:space="preserve"> </w:t>
      </w:r>
      <w:r w:rsidR="009B42E4" w:rsidRPr="00773152">
        <w:rPr>
          <w:rFonts w:ascii="Times New Roman" w:hAnsi="Times New Roman" w:cs="Times New Roman"/>
          <w:sz w:val="24"/>
          <w:szCs w:val="24"/>
        </w:rPr>
        <w:t xml:space="preserve">questions asking for </w:t>
      </w:r>
      <w:r w:rsidRPr="00773152">
        <w:rPr>
          <w:rFonts w:ascii="Times New Roman" w:hAnsi="Times New Roman" w:cs="Times New Roman"/>
          <w:sz w:val="24"/>
          <w:szCs w:val="24"/>
        </w:rPr>
        <w:t xml:space="preserve">information </w:t>
      </w:r>
      <w:r w:rsidR="009B42E4" w:rsidRPr="00773152">
        <w:rPr>
          <w:rFonts w:ascii="Times New Roman" w:hAnsi="Times New Roman" w:cs="Times New Roman"/>
          <w:sz w:val="24"/>
          <w:szCs w:val="24"/>
        </w:rPr>
        <w:t xml:space="preserve">about whether a restricted or conditional gift was for the purpose of or had the effect of influencing any program or curricula </w:t>
      </w:r>
      <w:r w:rsidRPr="00773152">
        <w:rPr>
          <w:rFonts w:ascii="Times New Roman" w:hAnsi="Times New Roman" w:cs="Times New Roman"/>
          <w:sz w:val="24"/>
          <w:szCs w:val="24"/>
        </w:rPr>
        <w:t xml:space="preserve">in 4.d.v, 5.e.v, 4.d.v.1, and 5.e.v.1 is not </w:t>
      </w:r>
      <w:r w:rsidR="0009787A">
        <w:rPr>
          <w:rFonts w:ascii="Times New Roman" w:hAnsi="Times New Roman" w:cs="Times New Roman"/>
          <w:sz w:val="24"/>
          <w:szCs w:val="24"/>
        </w:rPr>
        <w:t>authorized</w:t>
      </w:r>
      <w:r w:rsidRPr="00773152">
        <w:rPr>
          <w:rFonts w:ascii="Times New Roman" w:hAnsi="Times New Roman" w:cs="Times New Roman"/>
          <w:sz w:val="24"/>
          <w:szCs w:val="24"/>
        </w:rPr>
        <w:t xml:space="preserve">. </w:t>
      </w:r>
      <w:r w:rsidR="009B42E4" w:rsidRPr="00773152">
        <w:rPr>
          <w:rFonts w:ascii="Times New Roman" w:hAnsi="Times New Roman" w:cs="Times New Roman"/>
          <w:sz w:val="24"/>
          <w:szCs w:val="24"/>
        </w:rPr>
        <w:t>These commenters stated that t</w:t>
      </w:r>
      <w:r w:rsidRPr="00773152">
        <w:rPr>
          <w:rFonts w:ascii="Times New Roman" w:hAnsi="Times New Roman" w:cs="Times New Roman"/>
          <w:sz w:val="24"/>
          <w:szCs w:val="24"/>
        </w:rPr>
        <w:t xml:space="preserve">his question does not pertain to any prong of the statutory definition of the term “restricted or conditional gift or contract.” These commenters believed that it was particularly inappropriate for the Department to require </w:t>
      </w:r>
      <w:r w:rsidR="006A6F2F">
        <w:rPr>
          <w:rFonts w:ascii="Times New Roman" w:hAnsi="Times New Roman" w:cs="Times New Roman"/>
          <w:sz w:val="24"/>
          <w:szCs w:val="24"/>
        </w:rPr>
        <w:t>institution</w:t>
      </w:r>
      <w:r w:rsidRPr="00773152">
        <w:rPr>
          <w:rFonts w:ascii="Times New Roman" w:hAnsi="Times New Roman" w:cs="Times New Roman"/>
          <w:sz w:val="24"/>
          <w:szCs w:val="24"/>
        </w:rPr>
        <w:t xml:space="preserve">s to determine whether a restricted or conditional gift influenced any program or curricula either directly or indirectly given the statutory restriction regarding control of school curriculum in 20 U.S.C. § 1232a.  </w:t>
      </w:r>
      <w:r w:rsidR="00146FA0" w:rsidRPr="00773152">
        <w:rPr>
          <w:rFonts w:ascii="Times New Roman" w:hAnsi="Times New Roman" w:cs="Times New Roman"/>
          <w:sz w:val="24"/>
          <w:szCs w:val="24"/>
        </w:rPr>
        <w:t xml:space="preserve">Other commenters asserted that the “direct or indirect” influence over an </w:t>
      </w:r>
      <w:r w:rsidR="006A6F2F">
        <w:rPr>
          <w:rFonts w:ascii="Times New Roman" w:hAnsi="Times New Roman" w:cs="Times New Roman"/>
          <w:sz w:val="24"/>
          <w:szCs w:val="24"/>
        </w:rPr>
        <w:t>institution</w:t>
      </w:r>
      <w:r w:rsidR="00146FA0" w:rsidRPr="00773152">
        <w:rPr>
          <w:rFonts w:ascii="Times New Roman" w:hAnsi="Times New Roman" w:cs="Times New Roman"/>
          <w:sz w:val="24"/>
          <w:szCs w:val="24"/>
        </w:rPr>
        <w:t xml:space="preserve"> is too vague and subjective.  </w:t>
      </w:r>
      <w:r w:rsidR="009F0963">
        <w:rPr>
          <w:rFonts w:ascii="Times New Roman" w:hAnsi="Times New Roman" w:cs="Times New Roman"/>
          <w:sz w:val="24"/>
          <w:szCs w:val="24"/>
        </w:rPr>
        <w:t xml:space="preserve">Another commenter suggested that the Department should re-order question 4 so that institutions are asked to identify whether the gift meets any of the restrictions or conditions outlined in 4.d before institutions provide the information required in 4.c.  This commenter thought that since the information in 4.c would not need to be reported if the gift or contract does not meet the criteria outlined in the statute (and set out in 4.d) then question 4.d should appear before 4.c.   </w:t>
      </w:r>
      <w:r w:rsidR="009F0963" w:rsidRPr="00773152">
        <w:rPr>
          <w:rFonts w:ascii="Times New Roman" w:hAnsi="Times New Roman" w:cs="Times New Roman"/>
          <w:sz w:val="24"/>
          <w:szCs w:val="24"/>
        </w:rPr>
        <w:t xml:space="preserve">  </w:t>
      </w:r>
    </w:p>
    <w:p w14:paraId="37183F70" w14:textId="0878DE19" w:rsidR="00AD7DDE" w:rsidRPr="00773152" w:rsidRDefault="00AD7DDE" w:rsidP="00AD7DDE">
      <w:pPr>
        <w:autoSpaceDE w:val="0"/>
        <w:autoSpaceDN w:val="0"/>
        <w:adjustRightInd w:val="0"/>
        <w:spacing w:after="0" w:line="240" w:lineRule="auto"/>
        <w:rPr>
          <w:rFonts w:ascii="Times New Roman" w:hAnsi="Times New Roman" w:cs="Times New Roman"/>
          <w:sz w:val="24"/>
          <w:szCs w:val="24"/>
        </w:rPr>
      </w:pPr>
    </w:p>
    <w:p w14:paraId="2CC0561C" w14:textId="32E27F9F" w:rsidR="0009787A" w:rsidRDefault="00AD7DDE" w:rsidP="0009787A">
      <w:pPr>
        <w:spacing w:after="0" w:line="240" w:lineRule="auto"/>
        <w:rPr>
          <w:rFonts w:ascii="Times New Roman" w:hAnsi="Times New Roman" w:cs="Times New Roman"/>
          <w:sz w:val="24"/>
          <w:szCs w:val="24"/>
        </w:rPr>
      </w:pPr>
      <w:r w:rsidRPr="00773152">
        <w:rPr>
          <w:rFonts w:ascii="Times New Roman" w:hAnsi="Times New Roman" w:cs="Times New Roman"/>
          <w:b/>
          <w:sz w:val="24"/>
          <w:szCs w:val="24"/>
        </w:rPr>
        <w:t>Response</w:t>
      </w:r>
      <w:r w:rsidRPr="00773152">
        <w:rPr>
          <w:rFonts w:ascii="Times New Roman" w:hAnsi="Times New Roman" w:cs="Times New Roman"/>
          <w:sz w:val="24"/>
          <w:szCs w:val="24"/>
        </w:rPr>
        <w:t>:</w:t>
      </w:r>
      <w:r w:rsidR="009B42E4" w:rsidRPr="00773152">
        <w:rPr>
          <w:rFonts w:ascii="Times New Roman" w:hAnsi="Times New Roman" w:cs="Times New Roman"/>
          <w:sz w:val="24"/>
          <w:szCs w:val="24"/>
        </w:rPr>
        <w:t xml:space="preserve">  </w:t>
      </w:r>
      <w:r w:rsidR="009E657A" w:rsidRPr="00773152">
        <w:rPr>
          <w:rFonts w:ascii="Times New Roman" w:hAnsi="Times New Roman" w:cs="Times New Roman"/>
          <w:sz w:val="24"/>
          <w:szCs w:val="24"/>
        </w:rPr>
        <w:t xml:space="preserve">We </w:t>
      </w:r>
      <w:r w:rsidR="009E657A">
        <w:rPr>
          <w:rFonts w:ascii="Times New Roman" w:hAnsi="Times New Roman" w:cs="Times New Roman"/>
          <w:sz w:val="24"/>
          <w:szCs w:val="24"/>
        </w:rPr>
        <w:t>appreciate the commenters input</w:t>
      </w:r>
      <w:r w:rsidR="009E657A" w:rsidRPr="00773152">
        <w:rPr>
          <w:rFonts w:ascii="Times New Roman" w:hAnsi="Times New Roman" w:cs="Times New Roman"/>
          <w:sz w:val="24"/>
          <w:szCs w:val="24"/>
        </w:rPr>
        <w:t xml:space="preserve"> </w:t>
      </w:r>
      <w:r w:rsidR="009E657A">
        <w:rPr>
          <w:rFonts w:ascii="Times New Roman" w:hAnsi="Times New Roman" w:cs="Times New Roman"/>
          <w:sz w:val="24"/>
          <w:szCs w:val="24"/>
        </w:rPr>
        <w:t>and</w:t>
      </w:r>
      <w:r w:rsidR="009E657A" w:rsidRPr="00773152">
        <w:rPr>
          <w:rFonts w:ascii="Times New Roman" w:hAnsi="Times New Roman" w:cs="Times New Roman"/>
          <w:sz w:val="24"/>
          <w:szCs w:val="24"/>
        </w:rPr>
        <w:t xml:space="preserve"> are removing the questions</w:t>
      </w:r>
      <w:r w:rsidR="009E657A">
        <w:rPr>
          <w:rFonts w:ascii="Times New Roman" w:hAnsi="Times New Roman" w:cs="Times New Roman"/>
          <w:sz w:val="24"/>
          <w:szCs w:val="24"/>
        </w:rPr>
        <w:t xml:space="preserve"> about influence of any program or curricula from th</w:t>
      </w:r>
      <w:r w:rsidR="0009787A">
        <w:rPr>
          <w:rFonts w:ascii="Times New Roman" w:hAnsi="Times New Roman" w:cs="Times New Roman"/>
          <w:sz w:val="24"/>
          <w:szCs w:val="24"/>
        </w:rPr>
        <w:t>is</w:t>
      </w:r>
      <w:r w:rsidR="009E657A">
        <w:rPr>
          <w:rFonts w:ascii="Times New Roman" w:hAnsi="Times New Roman" w:cs="Times New Roman"/>
          <w:sz w:val="24"/>
          <w:szCs w:val="24"/>
        </w:rPr>
        <w:t xml:space="preserve"> instrument</w:t>
      </w:r>
      <w:r w:rsidR="0009787A">
        <w:rPr>
          <w:rFonts w:ascii="Times New Roman" w:hAnsi="Times New Roman" w:cs="Times New Roman"/>
          <w:sz w:val="24"/>
          <w:szCs w:val="24"/>
        </w:rPr>
        <w:t xml:space="preserve"> at this time</w:t>
      </w:r>
      <w:r w:rsidR="009E657A" w:rsidRPr="00773152">
        <w:rPr>
          <w:rFonts w:ascii="Times New Roman" w:hAnsi="Times New Roman" w:cs="Times New Roman"/>
          <w:sz w:val="24"/>
          <w:szCs w:val="24"/>
        </w:rPr>
        <w:t>.</w:t>
      </w:r>
      <w:r w:rsidR="009E657A">
        <w:rPr>
          <w:rFonts w:ascii="Times New Roman" w:hAnsi="Times New Roman" w:cs="Times New Roman"/>
          <w:sz w:val="24"/>
          <w:szCs w:val="24"/>
        </w:rPr>
        <w:t xml:space="preserve">  As for the suggestion to re-order question 4, the Department does not believe this is necessary because institutions do not need to report gifts or contracts that do not qualify as a restricted or conditional gift or contract regardless of the order of the questions.</w:t>
      </w:r>
    </w:p>
    <w:p w14:paraId="50C06E58" w14:textId="49CBDBE9" w:rsidR="00AD7DDE" w:rsidRPr="00773152" w:rsidRDefault="009E657A" w:rsidP="009417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73152">
        <w:rPr>
          <w:rFonts w:ascii="Times New Roman" w:hAnsi="Times New Roman" w:cs="Times New Roman"/>
          <w:sz w:val="24"/>
          <w:szCs w:val="24"/>
        </w:rPr>
        <w:t xml:space="preserve">  </w:t>
      </w:r>
      <w:r w:rsidR="009B42E4" w:rsidRPr="00773152">
        <w:rPr>
          <w:rFonts w:ascii="Times New Roman" w:hAnsi="Times New Roman" w:cs="Times New Roman"/>
          <w:sz w:val="24"/>
          <w:szCs w:val="24"/>
        </w:rPr>
        <w:t xml:space="preserve">  </w:t>
      </w:r>
    </w:p>
    <w:p w14:paraId="2C494AC0" w14:textId="6A5A74F9" w:rsidR="00AD7DDE" w:rsidRPr="00773152" w:rsidRDefault="00AD7DDE" w:rsidP="002F7186">
      <w:pPr>
        <w:rPr>
          <w:rFonts w:ascii="Times New Roman" w:hAnsi="Times New Roman" w:cs="Times New Roman"/>
          <w:sz w:val="24"/>
          <w:szCs w:val="24"/>
        </w:rPr>
      </w:pPr>
      <w:r w:rsidRPr="00773152">
        <w:rPr>
          <w:rFonts w:ascii="Times New Roman" w:hAnsi="Times New Roman" w:cs="Times New Roman"/>
          <w:b/>
          <w:sz w:val="24"/>
          <w:szCs w:val="24"/>
        </w:rPr>
        <w:t>Changes</w:t>
      </w:r>
      <w:r w:rsidRPr="00773152">
        <w:rPr>
          <w:rFonts w:ascii="Times New Roman" w:hAnsi="Times New Roman" w:cs="Times New Roman"/>
          <w:sz w:val="24"/>
          <w:szCs w:val="24"/>
        </w:rPr>
        <w:t>:</w:t>
      </w:r>
      <w:r w:rsidR="00546F1F" w:rsidRPr="00773152">
        <w:rPr>
          <w:rFonts w:ascii="Times New Roman" w:hAnsi="Times New Roman" w:cs="Times New Roman"/>
          <w:sz w:val="24"/>
          <w:szCs w:val="24"/>
        </w:rPr>
        <w:t xml:space="preserve">  We are removing </w:t>
      </w:r>
      <w:r w:rsidR="009B42E4" w:rsidRPr="00773152">
        <w:rPr>
          <w:rFonts w:ascii="Times New Roman" w:hAnsi="Times New Roman" w:cs="Times New Roman"/>
          <w:sz w:val="24"/>
          <w:szCs w:val="24"/>
        </w:rPr>
        <w:t>questions 4.d.v and 5.e.v</w:t>
      </w:r>
      <w:r w:rsidR="00546F1F" w:rsidRPr="00773152">
        <w:rPr>
          <w:rFonts w:ascii="Times New Roman" w:hAnsi="Times New Roman" w:cs="Times New Roman"/>
          <w:sz w:val="24"/>
          <w:szCs w:val="24"/>
        </w:rPr>
        <w:t xml:space="preserve">.  </w:t>
      </w:r>
    </w:p>
    <w:p w14:paraId="19A4D3BE" w14:textId="3B636A54" w:rsidR="002F7186" w:rsidRPr="00773152" w:rsidRDefault="0093042D" w:rsidP="002F7186">
      <w:pPr>
        <w:rPr>
          <w:rFonts w:ascii="Times New Roman" w:hAnsi="Times New Roman" w:cs="Times New Roman"/>
          <w:sz w:val="24"/>
          <w:szCs w:val="24"/>
        </w:rPr>
      </w:pPr>
      <w:r>
        <w:rPr>
          <w:rFonts w:ascii="Times New Roman" w:hAnsi="Times New Roman" w:cs="Times New Roman"/>
          <w:b/>
          <w:sz w:val="24"/>
          <w:szCs w:val="24"/>
        </w:rPr>
        <w:t>Need to Collect this Information</w:t>
      </w:r>
    </w:p>
    <w:p w14:paraId="2D059294" w14:textId="55BD759E" w:rsidR="00146FA0" w:rsidRPr="00773152" w:rsidRDefault="007D599F" w:rsidP="009417EA">
      <w:pPr>
        <w:pStyle w:val="NoSpacing"/>
        <w:rPr>
          <w:rFonts w:ascii="Times New Roman" w:hAnsi="Times New Roman" w:cs="Times New Roman"/>
          <w:color w:val="000000"/>
          <w:sz w:val="24"/>
          <w:szCs w:val="24"/>
        </w:rPr>
      </w:pPr>
      <w:r>
        <w:rPr>
          <w:rFonts w:ascii="Times New Roman" w:hAnsi="Times New Roman" w:cs="Times New Roman"/>
          <w:b/>
          <w:bCs/>
          <w:sz w:val="24"/>
          <w:szCs w:val="24"/>
        </w:rPr>
        <w:t>Comments</w:t>
      </w:r>
      <w:r>
        <w:rPr>
          <w:rFonts w:ascii="Times New Roman" w:hAnsi="Times New Roman" w:cs="Times New Roman"/>
          <w:sz w:val="24"/>
          <w:szCs w:val="24"/>
        </w:rPr>
        <w:t xml:space="preserve">:  Some commenters asserted that the GAO reports the Department cited as evidence of the need for this information collection did not sufficiently relate to reporting under 20 U.S.C. 1011f.  </w:t>
      </w:r>
      <w:r>
        <w:rPr>
          <w:rFonts w:ascii="Times New Roman" w:hAnsi="Times New Roman" w:cs="Times New Roman"/>
          <w:b/>
          <w:bCs/>
          <w:sz w:val="24"/>
          <w:szCs w:val="24"/>
        </w:rPr>
        <w:t xml:space="preserve">  </w:t>
      </w:r>
      <w:r>
        <w:rPr>
          <w:rFonts w:ascii="Times New Roman" w:hAnsi="Times New Roman" w:cs="Times New Roman"/>
          <w:sz w:val="24"/>
          <w:szCs w:val="24"/>
        </w:rPr>
        <w:t xml:space="preserve">Commenters also asserted that the </w:t>
      </w:r>
      <w:r w:rsidR="00146FA0">
        <w:rPr>
          <w:rFonts w:ascii="Times New Roman" w:hAnsi="Times New Roman" w:cs="Times New Roman"/>
          <w:sz w:val="24"/>
          <w:szCs w:val="24"/>
        </w:rPr>
        <w:t>c</w:t>
      </w:r>
      <w:r w:rsidR="00146FA0" w:rsidRPr="00773152">
        <w:rPr>
          <w:rFonts w:ascii="Times New Roman" w:hAnsi="Times New Roman" w:cs="Times New Roman"/>
          <w:color w:val="000000"/>
          <w:sz w:val="24"/>
          <w:szCs w:val="24"/>
        </w:rPr>
        <w:t xml:space="preserve">ongressional report </w:t>
      </w:r>
      <w:r>
        <w:rPr>
          <w:rFonts w:ascii="Times New Roman" w:hAnsi="Times New Roman" w:cs="Times New Roman"/>
          <w:color w:val="000000"/>
          <w:sz w:val="24"/>
          <w:szCs w:val="24"/>
        </w:rPr>
        <w:t xml:space="preserve">the Department cited as further support for </w:t>
      </w:r>
      <w:r w:rsidR="00146FA0" w:rsidRPr="0077315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need for this information collections had</w:t>
      </w:r>
      <w:r w:rsidR="00146FA0" w:rsidRPr="00773152">
        <w:rPr>
          <w:rFonts w:ascii="Times New Roman" w:hAnsi="Times New Roman" w:cs="Times New Roman"/>
          <w:color w:val="000000"/>
          <w:sz w:val="24"/>
          <w:szCs w:val="24"/>
        </w:rPr>
        <w:t xml:space="preserve"> flaws </w:t>
      </w:r>
      <w:r>
        <w:rPr>
          <w:rFonts w:ascii="Times New Roman" w:hAnsi="Times New Roman" w:cs="Times New Roman"/>
          <w:color w:val="000000"/>
          <w:sz w:val="24"/>
          <w:szCs w:val="24"/>
        </w:rPr>
        <w:t>because t</w:t>
      </w:r>
      <w:r w:rsidR="00146FA0" w:rsidRPr="00773152">
        <w:rPr>
          <w:rFonts w:ascii="Times New Roman" w:hAnsi="Times New Roman" w:cs="Times New Roman"/>
          <w:color w:val="000000"/>
          <w:sz w:val="24"/>
          <w:szCs w:val="24"/>
        </w:rPr>
        <w:t xml:space="preserve">he report is not an audit report conducted by independent public auditors in accordance with Government Auditing Standards and therefore lacks the reliability and assurance provided by an independent audit report. </w:t>
      </w:r>
      <w:r w:rsidR="00146FA0" w:rsidRPr="00773152">
        <w:rPr>
          <w:rFonts w:ascii="Times New Roman" w:hAnsi="Times New Roman" w:cs="Times New Roman"/>
          <w:sz w:val="24"/>
          <w:szCs w:val="24"/>
        </w:rPr>
        <w:tab/>
      </w:r>
      <w:r w:rsidR="00A77BC8">
        <w:rPr>
          <w:rFonts w:ascii="Times New Roman" w:hAnsi="Times New Roman" w:cs="Times New Roman"/>
          <w:sz w:val="24"/>
          <w:szCs w:val="24"/>
        </w:rPr>
        <w:t xml:space="preserve">Other commenters asserted that the Department’s actions appear to be </w:t>
      </w:r>
      <w:r w:rsidR="00146FA0" w:rsidRPr="00773152">
        <w:rPr>
          <w:rFonts w:ascii="Times New Roman" w:hAnsi="Times New Roman" w:cs="Times New Roman"/>
          <w:sz w:val="24"/>
          <w:szCs w:val="24"/>
        </w:rPr>
        <w:t xml:space="preserve">politically motivated.   </w:t>
      </w:r>
      <w:r w:rsidR="00A77BC8">
        <w:rPr>
          <w:rFonts w:ascii="Times New Roman" w:hAnsi="Times New Roman" w:cs="Times New Roman"/>
          <w:sz w:val="24"/>
          <w:szCs w:val="24"/>
        </w:rPr>
        <w:t xml:space="preserve">Other commenters questioned why the Department needs this information collection for enforcement purposes given that the </w:t>
      </w:r>
      <w:r w:rsidR="00146FA0" w:rsidRPr="00773152">
        <w:rPr>
          <w:rFonts w:ascii="Times New Roman" w:hAnsi="Times New Roman" w:cs="Times New Roman"/>
          <w:color w:val="000000"/>
          <w:sz w:val="24"/>
          <w:szCs w:val="24"/>
        </w:rPr>
        <w:t xml:space="preserve">statute </w:t>
      </w:r>
      <w:r w:rsidR="00A77BC8">
        <w:rPr>
          <w:rFonts w:ascii="Times New Roman" w:hAnsi="Times New Roman" w:cs="Times New Roman"/>
          <w:color w:val="000000"/>
          <w:sz w:val="24"/>
          <w:szCs w:val="24"/>
        </w:rPr>
        <w:t>provides</w:t>
      </w:r>
      <w:r w:rsidR="0009787A">
        <w:rPr>
          <w:rFonts w:ascii="Times New Roman" w:hAnsi="Times New Roman" w:cs="Times New Roman"/>
          <w:color w:val="000000"/>
          <w:sz w:val="24"/>
          <w:szCs w:val="24"/>
        </w:rPr>
        <w:t xml:space="preserve"> the Department of Justice</w:t>
      </w:r>
      <w:r w:rsidR="00A77BC8">
        <w:rPr>
          <w:rFonts w:ascii="Times New Roman" w:hAnsi="Times New Roman" w:cs="Times New Roman"/>
          <w:color w:val="000000"/>
          <w:sz w:val="24"/>
          <w:szCs w:val="24"/>
        </w:rPr>
        <w:t xml:space="preserve"> with the authority to take legal action in Federal court</w:t>
      </w:r>
      <w:r w:rsidR="00146FA0" w:rsidRPr="00773152">
        <w:rPr>
          <w:rFonts w:ascii="Times New Roman" w:hAnsi="Times New Roman" w:cs="Times New Roman"/>
          <w:color w:val="000000"/>
          <w:sz w:val="24"/>
          <w:szCs w:val="24"/>
        </w:rPr>
        <w:t xml:space="preserve">.  </w:t>
      </w:r>
      <w:r w:rsidR="006F02FB">
        <w:rPr>
          <w:rFonts w:ascii="Times New Roman" w:hAnsi="Times New Roman" w:cs="Times New Roman"/>
          <w:color w:val="000000"/>
          <w:sz w:val="24"/>
          <w:szCs w:val="24"/>
        </w:rPr>
        <w:t>Other commenters referred to a</w:t>
      </w:r>
      <w:r w:rsidR="00146FA0" w:rsidRPr="00773152">
        <w:rPr>
          <w:rFonts w:ascii="Times New Roman" w:hAnsi="Times New Roman" w:cs="Times New Roman"/>
          <w:sz w:val="24"/>
          <w:szCs w:val="24"/>
        </w:rPr>
        <w:t xml:space="preserve"> 2015 Report of the Task Force on Federal Regulation of Higher Education, created by a bipartisan group of U.S. Senators, </w:t>
      </w:r>
      <w:r w:rsidR="006F02FB">
        <w:rPr>
          <w:rFonts w:ascii="Times New Roman" w:hAnsi="Times New Roman" w:cs="Times New Roman"/>
          <w:sz w:val="24"/>
          <w:szCs w:val="24"/>
        </w:rPr>
        <w:t xml:space="preserve">which </w:t>
      </w:r>
      <w:r w:rsidR="00146FA0" w:rsidRPr="00773152">
        <w:rPr>
          <w:rFonts w:ascii="Times New Roman" w:hAnsi="Times New Roman" w:cs="Times New Roman"/>
          <w:sz w:val="24"/>
          <w:szCs w:val="24"/>
        </w:rPr>
        <w:t>proposed removing the foreign gift and contract reporting requirement altogether</w:t>
      </w:r>
      <w:r w:rsidR="006F02FB">
        <w:rPr>
          <w:rFonts w:ascii="Times New Roman" w:hAnsi="Times New Roman" w:cs="Times New Roman"/>
          <w:sz w:val="24"/>
          <w:szCs w:val="24"/>
        </w:rPr>
        <w:t xml:space="preserve"> because</w:t>
      </w:r>
      <w:r w:rsidR="00146FA0" w:rsidRPr="00773152">
        <w:rPr>
          <w:rFonts w:ascii="Times New Roman" w:hAnsi="Times New Roman" w:cs="Times New Roman"/>
          <w:sz w:val="24"/>
          <w:szCs w:val="24"/>
        </w:rPr>
        <w:t xml:space="preserve"> foreign gift reporting </w:t>
      </w:r>
      <w:r w:rsidR="006F02FB">
        <w:rPr>
          <w:rFonts w:ascii="Times New Roman" w:hAnsi="Times New Roman" w:cs="Times New Roman"/>
          <w:sz w:val="24"/>
          <w:szCs w:val="24"/>
        </w:rPr>
        <w:t>is</w:t>
      </w:r>
      <w:r w:rsidR="00146FA0" w:rsidRPr="00773152">
        <w:rPr>
          <w:rFonts w:ascii="Times New Roman" w:hAnsi="Times New Roman" w:cs="Times New Roman"/>
          <w:sz w:val="24"/>
          <w:szCs w:val="24"/>
        </w:rPr>
        <w:t xml:space="preserve"> "unrelated to the central areas of federal concern in higher education" and that "in many cases, there are other ways to locate this information, such as through public information and open records law."    </w:t>
      </w:r>
    </w:p>
    <w:p w14:paraId="038E3931" w14:textId="77777777" w:rsidR="006F3797" w:rsidRDefault="006F3797" w:rsidP="002F7186">
      <w:pPr>
        <w:rPr>
          <w:b/>
        </w:rPr>
      </w:pPr>
    </w:p>
    <w:p w14:paraId="229F1EDC" w14:textId="731EE6EE" w:rsidR="00C83194" w:rsidRPr="00B5721C" w:rsidRDefault="00BF00F6" w:rsidP="002F7186">
      <w:pPr>
        <w:rPr>
          <w:rFonts w:ascii="Times New Roman" w:hAnsi="Times New Roman" w:cs="Times New Roman"/>
          <w:sz w:val="24"/>
          <w:szCs w:val="24"/>
        </w:rPr>
      </w:pPr>
      <w:r w:rsidRPr="00B5721C">
        <w:rPr>
          <w:rFonts w:ascii="Times New Roman" w:hAnsi="Times New Roman" w:cs="Times New Roman"/>
          <w:b/>
          <w:sz w:val="24"/>
          <w:szCs w:val="24"/>
        </w:rPr>
        <w:t>Response</w:t>
      </w:r>
      <w:r w:rsidRPr="00B5721C">
        <w:rPr>
          <w:rFonts w:ascii="Times New Roman" w:hAnsi="Times New Roman" w:cs="Times New Roman"/>
          <w:sz w:val="24"/>
          <w:szCs w:val="24"/>
        </w:rPr>
        <w:t xml:space="preserve">: </w:t>
      </w:r>
      <w:r w:rsidR="00636AA1" w:rsidRPr="00B5721C">
        <w:rPr>
          <w:rFonts w:ascii="Times New Roman" w:hAnsi="Times New Roman" w:cs="Times New Roman"/>
          <w:sz w:val="24"/>
          <w:szCs w:val="24"/>
        </w:rPr>
        <w:t xml:space="preserve">The United States Senate Permanent Subcommittee on Investigations released a Staff Report titled “China’s Impact on the U.S. Education System” in February 2019.  </w:t>
      </w:r>
      <w:r w:rsidR="008F0A5A" w:rsidRPr="00B5721C">
        <w:rPr>
          <w:rFonts w:ascii="Times New Roman" w:hAnsi="Times New Roman" w:cs="Times New Roman"/>
          <w:sz w:val="24"/>
          <w:szCs w:val="24"/>
        </w:rPr>
        <w:t xml:space="preserve">In addition, the U.S. Government Accountability Office </w:t>
      </w:r>
      <w:r w:rsidR="006B32A0" w:rsidRPr="00B5721C">
        <w:rPr>
          <w:rFonts w:ascii="Times New Roman" w:hAnsi="Times New Roman" w:cs="Times New Roman"/>
          <w:sz w:val="24"/>
          <w:szCs w:val="24"/>
        </w:rPr>
        <w:t xml:space="preserve">(“GAO”) </w:t>
      </w:r>
      <w:r w:rsidR="008F0A5A" w:rsidRPr="00B5721C">
        <w:rPr>
          <w:rFonts w:ascii="Times New Roman" w:hAnsi="Times New Roman" w:cs="Times New Roman"/>
          <w:sz w:val="24"/>
          <w:szCs w:val="24"/>
        </w:rPr>
        <w:t>has issued three reports since August 2016 summarizing investigations into the relationship between China and U.S. universities.</w:t>
      </w:r>
      <w:r w:rsidR="006B32A0" w:rsidRPr="00B5721C">
        <w:rPr>
          <w:rFonts w:ascii="Times New Roman" w:hAnsi="Times New Roman" w:cs="Times New Roman"/>
          <w:sz w:val="24"/>
          <w:szCs w:val="24"/>
        </w:rPr>
        <w:t xml:space="preserve">  While the</w:t>
      </w:r>
      <w:r w:rsidR="009C1A26" w:rsidRPr="00B5721C">
        <w:rPr>
          <w:rFonts w:ascii="Times New Roman" w:hAnsi="Times New Roman" w:cs="Times New Roman"/>
          <w:sz w:val="24"/>
          <w:szCs w:val="24"/>
        </w:rPr>
        <w:t>re were differences in the</w:t>
      </w:r>
      <w:r w:rsidR="006B32A0" w:rsidRPr="00B5721C">
        <w:rPr>
          <w:rFonts w:ascii="Times New Roman" w:hAnsi="Times New Roman" w:cs="Times New Roman"/>
          <w:sz w:val="24"/>
          <w:szCs w:val="24"/>
        </w:rPr>
        <w:t xml:space="preserve"> objective</w:t>
      </w:r>
      <w:r w:rsidR="009C1A26" w:rsidRPr="00B5721C">
        <w:rPr>
          <w:rFonts w:ascii="Times New Roman" w:hAnsi="Times New Roman" w:cs="Times New Roman"/>
          <w:sz w:val="24"/>
          <w:szCs w:val="24"/>
        </w:rPr>
        <w:t>s</w:t>
      </w:r>
      <w:r w:rsidR="006B32A0" w:rsidRPr="00B5721C">
        <w:rPr>
          <w:rFonts w:ascii="Times New Roman" w:hAnsi="Times New Roman" w:cs="Times New Roman"/>
          <w:sz w:val="24"/>
          <w:szCs w:val="24"/>
        </w:rPr>
        <w:t xml:space="preserve">, scope, and methodology employed by Congress and GAO to </w:t>
      </w:r>
      <w:r w:rsidR="009C1A26" w:rsidRPr="00B5721C">
        <w:rPr>
          <w:rFonts w:ascii="Times New Roman" w:hAnsi="Times New Roman" w:cs="Times New Roman"/>
          <w:sz w:val="24"/>
          <w:szCs w:val="24"/>
        </w:rPr>
        <w:t>conduct</w:t>
      </w:r>
      <w:r w:rsidR="006B32A0" w:rsidRPr="00B5721C">
        <w:rPr>
          <w:rFonts w:ascii="Times New Roman" w:hAnsi="Times New Roman" w:cs="Times New Roman"/>
          <w:sz w:val="24"/>
          <w:szCs w:val="24"/>
        </w:rPr>
        <w:t xml:space="preserve"> their </w:t>
      </w:r>
      <w:r w:rsidR="009C1A26" w:rsidRPr="00B5721C">
        <w:rPr>
          <w:rFonts w:ascii="Times New Roman" w:hAnsi="Times New Roman" w:cs="Times New Roman"/>
          <w:sz w:val="24"/>
          <w:szCs w:val="24"/>
        </w:rPr>
        <w:t>reviews</w:t>
      </w:r>
      <w:r w:rsidR="006B32A0" w:rsidRPr="00B5721C">
        <w:rPr>
          <w:rFonts w:ascii="Times New Roman" w:hAnsi="Times New Roman" w:cs="Times New Roman"/>
          <w:sz w:val="24"/>
          <w:szCs w:val="24"/>
        </w:rPr>
        <w:t>, the</w:t>
      </w:r>
      <w:r w:rsidR="009C1A26" w:rsidRPr="00B5721C">
        <w:rPr>
          <w:rFonts w:ascii="Times New Roman" w:hAnsi="Times New Roman" w:cs="Times New Roman"/>
          <w:sz w:val="24"/>
          <w:szCs w:val="24"/>
        </w:rPr>
        <w:t>ir reports revealed a shared concern:</w:t>
      </w:r>
      <w:r w:rsidR="006B32A0" w:rsidRPr="00B5721C">
        <w:rPr>
          <w:rFonts w:ascii="Times New Roman" w:hAnsi="Times New Roman" w:cs="Times New Roman"/>
          <w:sz w:val="24"/>
          <w:szCs w:val="24"/>
        </w:rPr>
        <w:t xml:space="preserve"> </w:t>
      </w:r>
      <w:r w:rsidR="009C1A26" w:rsidRPr="00B5721C">
        <w:rPr>
          <w:rFonts w:ascii="Times New Roman" w:hAnsi="Times New Roman" w:cs="Times New Roman"/>
          <w:sz w:val="24"/>
          <w:szCs w:val="24"/>
        </w:rPr>
        <w:t xml:space="preserve">the relationship between China and U.S. universities was both imbalanced and opaque.  </w:t>
      </w:r>
    </w:p>
    <w:p w14:paraId="13E9D0FB" w14:textId="79D07648" w:rsidR="00247106" w:rsidRPr="009E5C67" w:rsidRDefault="008C2873" w:rsidP="002F7186">
      <w:pPr>
        <w:rPr>
          <w:rFonts w:ascii="Times New Roman" w:hAnsi="Times New Roman" w:cs="Times New Roman"/>
          <w:sz w:val="24"/>
          <w:szCs w:val="24"/>
        </w:rPr>
      </w:pPr>
      <w:r w:rsidRPr="00B5721C">
        <w:rPr>
          <w:rFonts w:ascii="Times New Roman" w:hAnsi="Times New Roman" w:cs="Times New Roman"/>
          <w:sz w:val="24"/>
          <w:szCs w:val="24"/>
        </w:rPr>
        <w:t xml:space="preserve">The Department responded to that shared concern by engaging in a holistic review of activities related to Section 117, including </w:t>
      </w:r>
      <w:r w:rsidR="00547A1A" w:rsidRPr="00B5721C">
        <w:rPr>
          <w:rFonts w:ascii="Times New Roman" w:hAnsi="Times New Roman" w:cs="Times New Roman"/>
          <w:sz w:val="24"/>
          <w:szCs w:val="24"/>
        </w:rPr>
        <w:t xml:space="preserve">opening compliance investigations into six </w:t>
      </w:r>
      <w:r w:rsidR="006A6F2F">
        <w:rPr>
          <w:rFonts w:ascii="Times New Roman" w:hAnsi="Times New Roman" w:cs="Times New Roman"/>
          <w:sz w:val="24"/>
          <w:szCs w:val="24"/>
        </w:rPr>
        <w:t>institution</w:t>
      </w:r>
      <w:r w:rsidR="0019795A">
        <w:rPr>
          <w:rFonts w:ascii="Times New Roman" w:hAnsi="Times New Roman" w:cs="Times New Roman"/>
          <w:sz w:val="24"/>
          <w:szCs w:val="24"/>
        </w:rPr>
        <w:t xml:space="preserve">s </w:t>
      </w:r>
      <w:r w:rsidR="00547A1A" w:rsidRPr="00B5721C">
        <w:rPr>
          <w:rFonts w:ascii="Times New Roman" w:hAnsi="Times New Roman" w:cs="Times New Roman"/>
          <w:sz w:val="24"/>
          <w:szCs w:val="24"/>
        </w:rPr>
        <w:t xml:space="preserve">and engaging in a comprehensive </w:t>
      </w:r>
      <w:r w:rsidRPr="00B5721C">
        <w:rPr>
          <w:rFonts w:ascii="Times New Roman" w:hAnsi="Times New Roman" w:cs="Times New Roman"/>
          <w:sz w:val="24"/>
          <w:szCs w:val="24"/>
        </w:rPr>
        <w:t xml:space="preserve">internal control evaluation of the Department’s Section 117-related business processes </w:t>
      </w:r>
      <w:r w:rsidR="00547A1A" w:rsidRPr="00B5721C">
        <w:rPr>
          <w:rFonts w:ascii="Times New Roman" w:hAnsi="Times New Roman" w:cs="Times New Roman"/>
          <w:sz w:val="24"/>
          <w:szCs w:val="24"/>
        </w:rPr>
        <w:t xml:space="preserve">and systems.  </w:t>
      </w:r>
      <w:r w:rsidR="00C0014B" w:rsidRPr="00B5721C">
        <w:rPr>
          <w:rFonts w:ascii="Times New Roman" w:hAnsi="Times New Roman" w:cs="Times New Roman"/>
          <w:sz w:val="24"/>
          <w:szCs w:val="24"/>
        </w:rPr>
        <w:t>The</w:t>
      </w:r>
      <w:r w:rsidR="00547A1A" w:rsidRPr="00B5721C">
        <w:rPr>
          <w:rFonts w:ascii="Times New Roman" w:hAnsi="Times New Roman" w:cs="Times New Roman"/>
          <w:sz w:val="24"/>
          <w:szCs w:val="24"/>
        </w:rPr>
        <w:t xml:space="preserve"> </w:t>
      </w:r>
      <w:r w:rsidR="00C0014B" w:rsidRPr="00B5721C">
        <w:rPr>
          <w:rFonts w:ascii="Times New Roman" w:hAnsi="Times New Roman" w:cs="Times New Roman"/>
          <w:sz w:val="24"/>
          <w:szCs w:val="24"/>
        </w:rPr>
        <w:t xml:space="preserve">numerous disturbing </w:t>
      </w:r>
      <w:r w:rsidR="00C0014B" w:rsidRPr="009E5C67">
        <w:rPr>
          <w:rFonts w:ascii="Times New Roman" w:hAnsi="Times New Roman" w:cs="Times New Roman"/>
          <w:sz w:val="24"/>
          <w:szCs w:val="24"/>
        </w:rPr>
        <w:t xml:space="preserve">facts uncovered in each compliance investigation </w:t>
      </w:r>
      <w:r w:rsidR="0009787A" w:rsidRPr="009E5C67">
        <w:rPr>
          <w:rFonts w:ascii="Times New Roman" w:hAnsi="Times New Roman" w:cs="Times New Roman"/>
          <w:sz w:val="24"/>
          <w:szCs w:val="24"/>
        </w:rPr>
        <w:t xml:space="preserve">are consistent with Congressional findings of </w:t>
      </w:r>
      <w:r w:rsidR="009C5832" w:rsidRPr="009E5C67">
        <w:rPr>
          <w:rFonts w:ascii="Times New Roman" w:hAnsi="Times New Roman" w:cs="Times New Roman"/>
          <w:sz w:val="24"/>
          <w:szCs w:val="24"/>
        </w:rPr>
        <w:t xml:space="preserve">widespread failure among </w:t>
      </w:r>
      <w:r w:rsidR="006A6F2F" w:rsidRPr="009E5C67">
        <w:rPr>
          <w:rFonts w:ascii="Times New Roman" w:hAnsi="Times New Roman" w:cs="Times New Roman"/>
          <w:sz w:val="24"/>
          <w:szCs w:val="24"/>
        </w:rPr>
        <w:t>institution</w:t>
      </w:r>
      <w:r w:rsidR="0019795A" w:rsidRPr="009E5C67">
        <w:rPr>
          <w:rFonts w:ascii="Times New Roman" w:hAnsi="Times New Roman" w:cs="Times New Roman"/>
          <w:sz w:val="24"/>
          <w:szCs w:val="24"/>
        </w:rPr>
        <w:t>s</w:t>
      </w:r>
      <w:r w:rsidR="009C5832" w:rsidRPr="009E5C67">
        <w:rPr>
          <w:rFonts w:ascii="Times New Roman" w:hAnsi="Times New Roman" w:cs="Times New Roman"/>
          <w:sz w:val="24"/>
          <w:szCs w:val="24"/>
        </w:rPr>
        <w:t xml:space="preserve"> to comply with their Section 117 obligations.</w:t>
      </w:r>
      <w:r w:rsidR="001136D5" w:rsidRPr="009E5C67">
        <w:rPr>
          <w:rFonts w:ascii="Times New Roman" w:hAnsi="Times New Roman" w:cs="Times New Roman"/>
          <w:sz w:val="24"/>
          <w:szCs w:val="24"/>
        </w:rPr>
        <w:t xml:space="preserve">  </w:t>
      </w:r>
      <w:r w:rsidR="00964FD9" w:rsidRPr="009E5C67">
        <w:rPr>
          <w:rFonts w:ascii="Times New Roman" w:hAnsi="Times New Roman" w:cs="Times New Roman"/>
          <w:sz w:val="24"/>
          <w:szCs w:val="24"/>
        </w:rPr>
        <w:t>That is, t</w:t>
      </w:r>
      <w:r w:rsidR="001136D5" w:rsidRPr="009E5C67">
        <w:rPr>
          <w:rFonts w:ascii="Times New Roman" w:hAnsi="Times New Roman" w:cs="Times New Roman"/>
          <w:sz w:val="24"/>
          <w:szCs w:val="24"/>
        </w:rPr>
        <w:t xml:space="preserve">he statute and </w:t>
      </w:r>
      <w:r w:rsidR="00E05694" w:rsidRPr="009E5C67">
        <w:rPr>
          <w:rFonts w:ascii="Times New Roman" w:hAnsi="Times New Roman" w:cs="Times New Roman"/>
          <w:sz w:val="24"/>
          <w:szCs w:val="24"/>
        </w:rPr>
        <w:t>e-Application</w:t>
      </w:r>
      <w:r w:rsidR="001136D5" w:rsidRPr="009E5C67">
        <w:rPr>
          <w:rFonts w:ascii="Times New Roman" w:hAnsi="Times New Roman" w:cs="Times New Roman"/>
          <w:sz w:val="24"/>
          <w:szCs w:val="24"/>
        </w:rPr>
        <w:t xml:space="preserve"> have not resulted in compliance</w:t>
      </w:r>
      <w:r w:rsidR="00964FD9" w:rsidRPr="009E5C67">
        <w:rPr>
          <w:rFonts w:ascii="Times New Roman" w:hAnsi="Times New Roman" w:cs="Times New Roman"/>
          <w:sz w:val="24"/>
          <w:szCs w:val="24"/>
        </w:rPr>
        <w:t xml:space="preserve">.  </w:t>
      </w:r>
      <w:r w:rsidR="00691251" w:rsidRPr="009E5C67">
        <w:rPr>
          <w:rFonts w:ascii="Times New Roman" w:hAnsi="Times New Roman" w:cs="Times New Roman"/>
          <w:sz w:val="24"/>
          <w:szCs w:val="24"/>
        </w:rPr>
        <w:t xml:space="preserve">In addition, the Department’s internal control evaluation exposed </w:t>
      </w:r>
      <w:r w:rsidR="00C83194" w:rsidRPr="009E5C67">
        <w:rPr>
          <w:rFonts w:ascii="Times New Roman" w:hAnsi="Times New Roman" w:cs="Times New Roman"/>
          <w:sz w:val="24"/>
          <w:szCs w:val="24"/>
        </w:rPr>
        <w:t xml:space="preserve">weaknesses in the control activities designed to ensure </w:t>
      </w:r>
      <w:r w:rsidR="006A6F2F" w:rsidRPr="009E5C67">
        <w:rPr>
          <w:rFonts w:ascii="Times New Roman" w:hAnsi="Times New Roman" w:cs="Times New Roman"/>
          <w:sz w:val="24"/>
          <w:szCs w:val="24"/>
        </w:rPr>
        <w:t>institution</w:t>
      </w:r>
      <w:r w:rsidR="00BE01B2" w:rsidRPr="009E5C67">
        <w:rPr>
          <w:rFonts w:ascii="Times New Roman" w:hAnsi="Times New Roman" w:cs="Times New Roman"/>
          <w:sz w:val="24"/>
          <w:szCs w:val="24"/>
        </w:rPr>
        <w:t xml:space="preserve"> </w:t>
      </w:r>
      <w:r w:rsidR="00C83194" w:rsidRPr="009E5C67">
        <w:rPr>
          <w:rFonts w:ascii="Times New Roman" w:hAnsi="Times New Roman" w:cs="Times New Roman"/>
          <w:sz w:val="24"/>
          <w:szCs w:val="24"/>
        </w:rPr>
        <w:t xml:space="preserve">compliance with Section 117 </w:t>
      </w:r>
      <w:r w:rsidR="00BE01B2" w:rsidRPr="009E5C67">
        <w:rPr>
          <w:rFonts w:ascii="Times New Roman" w:hAnsi="Times New Roman" w:cs="Times New Roman"/>
          <w:sz w:val="24"/>
          <w:szCs w:val="24"/>
        </w:rPr>
        <w:t>and</w:t>
      </w:r>
      <w:r w:rsidR="00C83194" w:rsidRPr="009E5C67">
        <w:rPr>
          <w:rFonts w:ascii="Times New Roman" w:hAnsi="Times New Roman" w:cs="Times New Roman"/>
          <w:sz w:val="24"/>
          <w:szCs w:val="24"/>
        </w:rPr>
        <w:t xml:space="preserve"> those intended to detect instances of non-compliance.  The review thus revealed a problem demanding immediate and aggressive corrective action</w:t>
      </w:r>
      <w:r w:rsidR="0019795A" w:rsidRPr="009E5C67">
        <w:rPr>
          <w:rFonts w:ascii="Times New Roman" w:hAnsi="Times New Roman" w:cs="Times New Roman"/>
          <w:sz w:val="24"/>
          <w:szCs w:val="24"/>
        </w:rPr>
        <w:t xml:space="preserve">, including issuance of this information collection and implementation of a new electronic system to </w:t>
      </w:r>
      <w:r w:rsidR="001136D5" w:rsidRPr="009E5C67">
        <w:rPr>
          <w:rFonts w:ascii="Times New Roman" w:hAnsi="Times New Roman" w:cs="Times New Roman"/>
          <w:sz w:val="24"/>
          <w:szCs w:val="24"/>
        </w:rPr>
        <w:t>ensure</w:t>
      </w:r>
      <w:r w:rsidR="0019795A" w:rsidRPr="009E5C67">
        <w:rPr>
          <w:rFonts w:ascii="Times New Roman" w:hAnsi="Times New Roman" w:cs="Times New Roman"/>
          <w:sz w:val="24"/>
          <w:szCs w:val="24"/>
        </w:rPr>
        <w:t xml:space="preserve"> </w:t>
      </w:r>
      <w:r w:rsidR="006A6F2F" w:rsidRPr="009E5C67">
        <w:rPr>
          <w:rFonts w:ascii="Times New Roman" w:hAnsi="Times New Roman" w:cs="Times New Roman"/>
          <w:sz w:val="24"/>
          <w:szCs w:val="24"/>
        </w:rPr>
        <w:t>institution</w:t>
      </w:r>
      <w:r w:rsidR="0019795A" w:rsidRPr="009E5C67">
        <w:rPr>
          <w:rFonts w:ascii="Times New Roman" w:hAnsi="Times New Roman" w:cs="Times New Roman"/>
          <w:sz w:val="24"/>
          <w:szCs w:val="24"/>
        </w:rPr>
        <w:t>s efficiently discharge their statutory disclosure obligations</w:t>
      </w:r>
      <w:r w:rsidR="00294AD1" w:rsidRPr="009E5C67">
        <w:rPr>
          <w:rFonts w:ascii="Times New Roman" w:hAnsi="Times New Roman" w:cs="Times New Roman"/>
          <w:sz w:val="24"/>
          <w:szCs w:val="24"/>
        </w:rPr>
        <w:t>.  The Department must collect this information to be able to fulfill its enforcement duty to refer to the Attorney General when it has determined an institution has failed to comply with the requirements of Section 117</w:t>
      </w:r>
      <w:r w:rsidR="00C83194" w:rsidRPr="009E5C67">
        <w:rPr>
          <w:rFonts w:ascii="Times New Roman" w:hAnsi="Times New Roman" w:cs="Times New Roman"/>
          <w:sz w:val="24"/>
          <w:szCs w:val="24"/>
        </w:rPr>
        <w:t>.</w:t>
      </w:r>
      <w:r w:rsidR="00132EE9" w:rsidRPr="009E5C67">
        <w:rPr>
          <w:rFonts w:ascii="Times New Roman" w:hAnsi="Times New Roman" w:cs="Times New Roman"/>
          <w:sz w:val="24"/>
          <w:szCs w:val="24"/>
        </w:rPr>
        <w:t xml:space="preserve">  </w:t>
      </w:r>
      <w:r w:rsidR="00964FD9" w:rsidRPr="009E5C67">
        <w:rPr>
          <w:rFonts w:ascii="Times New Roman" w:hAnsi="Times New Roman" w:cs="Times New Roman"/>
          <w:sz w:val="24"/>
          <w:szCs w:val="24"/>
        </w:rPr>
        <w:t xml:space="preserve"> </w:t>
      </w:r>
      <w:r w:rsidR="00132EE9" w:rsidRPr="009E5C67">
        <w:rPr>
          <w:rFonts w:ascii="Times New Roman" w:hAnsi="Times New Roman" w:cs="Times New Roman"/>
          <w:sz w:val="24"/>
          <w:szCs w:val="24"/>
        </w:rPr>
        <w:t xml:space="preserve">The Department’s </w:t>
      </w:r>
      <w:r w:rsidR="003235B1" w:rsidRPr="009E5C67">
        <w:rPr>
          <w:rFonts w:ascii="Times New Roman" w:hAnsi="Times New Roman" w:cs="Times New Roman"/>
          <w:sz w:val="24"/>
          <w:szCs w:val="24"/>
        </w:rPr>
        <w:t xml:space="preserve">preliminary review is detailed </w:t>
      </w:r>
      <w:r w:rsidR="00132EE9" w:rsidRPr="009E5C67">
        <w:rPr>
          <w:rFonts w:ascii="Times New Roman" w:hAnsi="Times New Roman" w:cs="Times New Roman"/>
          <w:sz w:val="24"/>
          <w:szCs w:val="24"/>
        </w:rPr>
        <w:t>in the Department’s November 27, 2019</w:t>
      </w:r>
      <w:r w:rsidR="009417EA" w:rsidRPr="009E5C67">
        <w:rPr>
          <w:rFonts w:ascii="Times New Roman" w:hAnsi="Times New Roman" w:cs="Times New Roman"/>
          <w:sz w:val="24"/>
          <w:szCs w:val="24"/>
        </w:rPr>
        <w:t>,</w:t>
      </w:r>
      <w:r w:rsidR="00132EE9" w:rsidRPr="009E5C67">
        <w:rPr>
          <w:rFonts w:ascii="Times New Roman" w:hAnsi="Times New Roman" w:cs="Times New Roman"/>
          <w:sz w:val="24"/>
          <w:szCs w:val="24"/>
        </w:rPr>
        <w:t xml:space="preserve"> letter to </w:t>
      </w:r>
      <w:r w:rsidR="003235B1" w:rsidRPr="009E5C67">
        <w:rPr>
          <w:rFonts w:ascii="Times New Roman" w:hAnsi="Times New Roman" w:cs="Times New Roman"/>
          <w:sz w:val="24"/>
          <w:szCs w:val="24"/>
        </w:rPr>
        <w:t>the Senate Permanent Subcommittee on Investigations</w:t>
      </w:r>
      <w:r w:rsidR="009E5C67" w:rsidRPr="009E5C67">
        <w:rPr>
          <w:rFonts w:ascii="Times New Roman" w:hAnsi="Times New Roman" w:cs="Times New Roman"/>
          <w:sz w:val="24"/>
          <w:szCs w:val="24"/>
        </w:rPr>
        <w:t xml:space="preserve">, </w:t>
      </w:r>
      <w:hyperlink r:id="rId18" w:history="1">
        <w:r w:rsidR="009E5C67" w:rsidRPr="009E5C67">
          <w:rPr>
            <w:rFonts w:ascii="Times New Roman" w:eastAsia="Calibri" w:hAnsi="Times New Roman" w:cs="Times New Roman"/>
            <w:color w:val="0563C1"/>
            <w:sz w:val="24"/>
            <w:szCs w:val="24"/>
            <w:u w:val="single"/>
          </w:rPr>
          <w:t>https://www2.ed.gov/policy/highered/leg/foreign-gifts.html</w:t>
        </w:r>
      </w:hyperlink>
      <w:r w:rsidR="00132EE9" w:rsidRPr="009E5C67">
        <w:rPr>
          <w:rFonts w:ascii="Times New Roman" w:hAnsi="Times New Roman" w:cs="Times New Roman"/>
          <w:sz w:val="24"/>
          <w:szCs w:val="24"/>
        </w:rPr>
        <w:t xml:space="preserve">.  </w:t>
      </w:r>
      <w:r w:rsidR="00E05694" w:rsidRPr="009E5C67">
        <w:rPr>
          <w:rFonts w:ascii="Times New Roman" w:hAnsi="Times New Roman" w:cs="Times New Roman"/>
          <w:sz w:val="24"/>
          <w:szCs w:val="24"/>
        </w:rPr>
        <w:t xml:space="preserve">With regard to the comment </w:t>
      </w:r>
      <w:r w:rsidR="0009787A" w:rsidRPr="009E5C67">
        <w:rPr>
          <w:rFonts w:ascii="Times New Roman" w:hAnsi="Times New Roman" w:cs="Times New Roman"/>
          <w:sz w:val="24"/>
          <w:szCs w:val="24"/>
        </w:rPr>
        <w:t>stating</w:t>
      </w:r>
      <w:r w:rsidR="00E05694" w:rsidRPr="009E5C67">
        <w:rPr>
          <w:rFonts w:ascii="Times New Roman" w:hAnsi="Times New Roman" w:cs="Times New Roman"/>
          <w:sz w:val="24"/>
          <w:szCs w:val="24"/>
        </w:rPr>
        <w:t xml:space="preserve"> the Department could otherwise obtain access to the requested information, institutions </w:t>
      </w:r>
      <w:r w:rsidR="00964FD9" w:rsidRPr="009E5C67">
        <w:rPr>
          <w:rFonts w:ascii="Times New Roman" w:hAnsi="Times New Roman" w:cs="Times New Roman"/>
          <w:sz w:val="24"/>
          <w:szCs w:val="24"/>
        </w:rPr>
        <w:t xml:space="preserve">are </w:t>
      </w:r>
      <w:r w:rsidR="00E05694" w:rsidRPr="009E5C67">
        <w:rPr>
          <w:rFonts w:ascii="Times New Roman" w:hAnsi="Times New Roman" w:cs="Times New Roman"/>
          <w:sz w:val="24"/>
          <w:szCs w:val="24"/>
        </w:rPr>
        <w:t xml:space="preserve">statutorily required to report </w:t>
      </w:r>
      <w:r w:rsidR="00964FD9" w:rsidRPr="009E5C67">
        <w:rPr>
          <w:rFonts w:ascii="Times New Roman" w:hAnsi="Times New Roman" w:cs="Times New Roman"/>
          <w:sz w:val="24"/>
          <w:szCs w:val="24"/>
        </w:rPr>
        <w:t xml:space="preserve">it—the Department does not have any discretion in that regard.  Moreover, </w:t>
      </w:r>
      <w:r w:rsidR="00E05694" w:rsidRPr="009E5C67">
        <w:rPr>
          <w:rFonts w:ascii="Times New Roman" w:hAnsi="Times New Roman" w:cs="Times New Roman"/>
          <w:sz w:val="24"/>
          <w:szCs w:val="24"/>
        </w:rPr>
        <w:t>we are not aware of an</w:t>
      </w:r>
      <w:r w:rsidR="00964FD9" w:rsidRPr="009E5C67">
        <w:rPr>
          <w:rFonts w:ascii="Times New Roman" w:hAnsi="Times New Roman" w:cs="Times New Roman"/>
          <w:sz w:val="24"/>
          <w:szCs w:val="24"/>
        </w:rPr>
        <w:t xml:space="preserve"> alternative data source that would yield all the statutorily required data.</w:t>
      </w:r>
    </w:p>
    <w:p w14:paraId="79445FBB" w14:textId="617753A2" w:rsidR="006F3797" w:rsidRPr="009E5C67" w:rsidRDefault="006F3797" w:rsidP="002F7186">
      <w:pPr>
        <w:rPr>
          <w:rFonts w:ascii="Times New Roman" w:hAnsi="Times New Roman" w:cs="Times New Roman"/>
          <w:b/>
          <w:sz w:val="24"/>
          <w:szCs w:val="24"/>
        </w:rPr>
      </w:pPr>
      <w:bookmarkStart w:id="12" w:name="_Hlk26508216"/>
      <w:r w:rsidRPr="009E5C67">
        <w:rPr>
          <w:rFonts w:ascii="Times New Roman" w:hAnsi="Times New Roman" w:cs="Times New Roman"/>
          <w:b/>
          <w:sz w:val="24"/>
          <w:szCs w:val="24"/>
        </w:rPr>
        <w:t>Prior Guidance</w:t>
      </w:r>
    </w:p>
    <w:p w14:paraId="6400CE62" w14:textId="6C1568E7" w:rsidR="006F3797" w:rsidRPr="009E5C67" w:rsidRDefault="005D51F2" w:rsidP="006F3797">
      <w:pPr>
        <w:autoSpaceDE w:val="0"/>
        <w:autoSpaceDN w:val="0"/>
        <w:adjustRightInd w:val="0"/>
        <w:spacing w:after="0" w:line="240" w:lineRule="auto"/>
        <w:rPr>
          <w:rFonts w:ascii="Times New Roman" w:eastAsia="Times New Roman" w:hAnsi="Times New Roman" w:cs="Times New Roman"/>
          <w:sz w:val="24"/>
          <w:szCs w:val="24"/>
        </w:rPr>
      </w:pPr>
      <w:r w:rsidRPr="009E5C67">
        <w:rPr>
          <w:rFonts w:ascii="Times New Roman" w:hAnsi="Times New Roman" w:cs="Times New Roman"/>
          <w:b/>
          <w:sz w:val="24"/>
          <w:szCs w:val="24"/>
        </w:rPr>
        <w:t>Comments</w:t>
      </w:r>
      <w:r w:rsidRPr="009E5C67">
        <w:rPr>
          <w:rFonts w:ascii="Times New Roman" w:hAnsi="Times New Roman" w:cs="Times New Roman"/>
          <w:sz w:val="24"/>
          <w:szCs w:val="24"/>
        </w:rPr>
        <w:t xml:space="preserve">:  Some commenters noted that the Department’s prior guidance </w:t>
      </w:r>
      <w:r w:rsidR="006F3797" w:rsidRPr="009E5C67">
        <w:rPr>
          <w:rFonts w:ascii="Times New Roman" w:hAnsi="Times New Roman" w:cs="Times New Roman"/>
          <w:sz w:val="24"/>
          <w:szCs w:val="24"/>
        </w:rPr>
        <w:t xml:space="preserve">interprets the statute </w:t>
      </w:r>
      <w:r w:rsidRPr="009E5C67">
        <w:rPr>
          <w:rFonts w:ascii="Times New Roman" w:hAnsi="Times New Roman" w:cs="Times New Roman"/>
          <w:sz w:val="24"/>
          <w:szCs w:val="24"/>
        </w:rPr>
        <w:t xml:space="preserve">more </w:t>
      </w:r>
      <w:r w:rsidR="006F3797" w:rsidRPr="009E5C67">
        <w:rPr>
          <w:rFonts w:ascii="Times New Roman" w:hAnsi="Times New Roman" w:cs="Times New Roman"/>
          <w:sz w:val="24"/>
          <w:szCs w:val="24"/>
        </w:rPr>
        <w:t xml:space="preserve">narrowly and does not suggest that </w:t>
      </w:r>
      <w:r w:rsidR="00BB5007" w:rsidRPr="009E5C67">
        <w:rPr>
          <w:rFonts w:ascii="Times New Roman" w:hAnsi="Times New Roman" w:cs="Times New Roman"/>
          <w:sz w:val="24"/>
          <w:szCs w:val="24"/>
        </w:rPr>
        <w:t>the Department has the authority to</w:t>
      </w:r>
      <w:r w:rsidR="006F3797" w:rsidRPr="009E5C67">
        <w:rPr>
          <w:rFonts w:ascii="Times New Roman" w:hAnsi="Times New Roman" w:cs="Times New Roman"/>
          <w:sz w:val="24"/>
          <w:szCs w:val="24"/>
        </w:rPr>
        <w:t xml:space="preserve"> collect such a broad range of information here.   </w:t>
      </w:r>
    </w:p>
    <w:p w14:paraId="23CFBCBD" w14:textId="3C255870" w:rsidR="006F3797" w:rsidRPr="009E5C67" w:rsidRDefault="006F3797" w:rsidP="002F7186">
      <w:pPr>
        <w:rPr>
          <w:rFonts w:ascii="Times New Roman" w:hAnsi="Times New Roman" w:cs="Times New Roman"/>
          <w:b/>
          <w:sz w:val="24"/>
          <w:szCs w:val="24"/>
        </w:rPr>
      </w:pPr>
    </w:p>
    <w:p w14:paraId="7FBE8C5D" w14:textId="41442619" w:rsidR="00FF6E76" w:rsidRDefault="00FF6E76" w:rsidP="002F7186">
      <w:pPr>
        <w:rPr>
          <w:rFonts w:ascii="Times New Roman" w:hAnsi="Times New Roman" w:cs="Times New Roman"/>
          <w:bCs/>
          <w:sz w:val="24"/>
          <w:szCs w:val="24"/>
        </w:rPr>
      </w:pPr>
      <w:r>
        <w:rPr>
          <w:rFonts w:ascii="Times New Roman" w:hAnsi="Times New Roman" w:cs="Times New Roman"/>
          <w:b/>
          <w:sz w:val="24"/>
          <w:szCs w:val="24"/>
        </w:rPr>
        <w:t>Response</w:t>
      </w:r>
      <w:r>
        <w:rPr>
          <w:rFonts w:ascii="Times New Roman" w:hAnsi="Times New Roman" w:cs="Times New Roman"/>
          <w:bCs/>
          <w:sz w:val="24"/>
          <w:szCs w:val="24"/>
        </w:rPr>
        <w:t xml:space="preserve">:  </w:t>
      </w:r>
      <w:r w:rsidR="007D599F">
        <w:rPr>
          <w:rFonts w:ascii="Times New Roman" w:hAnsi="Times New Roman" w:cs="Times New Roman"/>
          <w:bCs/>
          <w:sz w:val="24"/>
          <w:szCs w:val="24"/>
        </w:rPr>
        <w:t xml:space="preserve">The purpose of this information collection request </w:t>
      </w:r>
      <w:r w:rsidR="006F02FB">
        <w:rPr>
          <w:rFonts w:ascii="Times New Roman" w:hAnsi="Times New Roman" w:cs="Times New Roman"/>
          <w:bCs/>
          <w:sz w:val="24"/>
          <w:szCs w:val="24"/>
        </w:rPr>
        <w:t xml:space="preserve">is to provide </w:t>
      </w:r>
      <w:r w:rsidR="00964FD9">
        <w:rPr>
          <w:rFonts w:ascii="Times New Roman" w:hAnsi="Times New Roman" w:cs="Times New Roman"/>
          <w:bCs/>
          <w:sz w:val="24"/>
          <w:szCs w:val="24"/>
        </w:rPr>
        <w:t>greater</w:t>
      </w:r>
      <w:r w:rsidR="006F02FB">
        <w:rPr>
          <w:rFonts w:ascii="Times New Roman" w:hAnsi="Times New Roman" w:cs="Times New Roman"/>
          <w:bCs/>
          <w:sz w:val="24"/>
          <w:szCs w:val="24"/>
        </w:rPr>
        <w:t xml:space="preserve"> clarity on the information </w:t>
      </w:r>
      <w:r w:rsidR="006A6F2F">
        <w:rPr>
          <w:rFonts w:ascii="Times New Roman" w:hAnsi="Times New Roman" w:cs="Times New Roman"/>
          <w:sz w:val="24"/>
          <w:szCs w:val="24"/>
        </w:rPr>
        <w:t>institution</w:t>
      </w:r>
      <w:r w:rsidR="006F02FB">
        <w:rPr>
          <w:rFonts w:ascii="Times New Roman" w:hAnsi="Times New Roman" w:cs="Times New Roman"/>
          <w:bCs/>
          <w:sz w:val="24"/>
          <w:szCs w:val="24"/>
        </w:rPr>
        <w:t xml:space="preserve">s must report under 20 U.S.C. 1011f than the prior guidance.  </w:t>
      </w:r>
      <w:r>
        <w:rPr>
          <w:rFonts w:ascii="Times New Roman" w:hAnsi="Times New Roman" w:cs="Times New Roman"/>
          <w:bCs/>
          <w:sz w:val="24"/>
          <w:szCs w:val="24"/>
        </w:rPr>
        <w:t>T</w:t>
      </w:r>
      <w:r w:rsidR="007D599F">
        <w:rPr>
          <w:rFonts w:ascii="Times New Roman" w:hAnsi="Times New Roman" w:cs="Times New Roman"/>
          <w:bCs/>
          <w:sz w:val="24"/>
          <w:szCs w:val="24"/>
        </w:rPr>
        <w:t xml:space="preserve">o the extent that </w:t>
      </w:r>
      <w:r w:rsidR="006A6F2F">
        <w:rPr>
          <w:rFonts w:ascii="Times New Roman" w:hAnsi="Times New Roman" w:cs="Times New Roman"/>
          <w:sz w:val="24"/>
          <w:szCs w:val="24"/>
        </w:rPr>
        <w:t>institution</w:t>
      </w:r>
      <w:r w:rsidR="007D599F">
        <w:rPr>
          <w:rFonts w:ascii="Times New Roman" w:hAnsi="Times New Roman" w:cs="Times New Roman"/>
          <w:bCs/>
          <w:sz w:val="24"/>
          <w:szCs w:val="24"/>
        </w:rPr>
        <w:t xml:space="preserve">s believe any aspects of the prior guidance </w:t>
      </w:r>
      <w:r w:rsidR="00291F5D">
        <w:rPr>
          <w:rFonts w:ascii="Times New Roman" w:hAnsi="Times New Roman" w:cs="Times New Roman"/>
          <w:bCs/>
          <w:sz w:val="24"/>
          <w:szCs w:val="24"/>
        </w:rPr>
        <w:t xml:space="preserve">are inconsistent with this information collection request, </w:t>
      </w:r>
      <w:r w:rsidR="00964FD9">
        <w:rPr>
          <w:rFonts w:ascii="Times New Roman" w:hAnsi="Times New Roman" w:cs="Times New Roman"/>
          <w:sz w:val="24"/>
          <w:szCs w:val="24"/>
        </w:rPr>
        <w:t>they</w:t>
      </w:r>
      <w:r w:rsidR="00964FD9">
        <w:rPr>
          <w:rFonts w:ascii="Times New Roman" w:hAnsi="Times New Roman" w:cs="Times New Roman"/>
          <w:bCs/>
          <w:sz w:val="24"/>
          <w:szCs w:val="24"/>
        </w:rPr>
        <w:t xml:space="preserve"> </w:t>
      </w:r>
      <w:r w:rsidR="00291F5D">
        <w:rPr>
          <w:rFonts w:ascii="Times New Roman" w:hAnsi="Times New Roman" w:cs="Times New Roman"/>
          <w:bCs/>
          <w:sz w:val="24"/>
          <w:szCs w:val="24"/>
        </w:rPr>
        <w:t xml:space="preserve">should report the information requested in the form associated with this information collection request.  </w:t>
      </w:r>
      <w:r>
        <w:rPr>
          <w:rFonts w:ascii="Times New Roman" w:hAnsi="Times New Roman" w:cs="Times New Roman"/>
          <w:bCs/>
          <w:sz w:val="24"/>
          <w:szCs w:val="24"/>
        </w:rPr>
        <w:t xml:space="preserve">  </w:t>
      </w:r>
    </w:p>
    <w:p w14:paraId="0C8B8F72" w14:textId="570304D7" w:rsidR="00FF6E76" w:rsidRPr="00FF6E76" w:rsidRDefault="00FF6E76" w:rsidP="002F7186">
      <w:pPr>
        <w:rPr>
          <w:rFonts w:ascii="Times New Roman" w:hAnsi="Times New Roman" w:cs="Times New Roman"/>
          <w:bCs/>
          <w:sz w:val="24"/>
          <w:szCs w:val="24"/>
        </w:rPr>
      </w:pPr>
      <w:r>
        <w:rPr>
          <w:rFonts w:ascii="Times New Roman" w:hAnsi="Times New Roman" w:cs="Times New Roman"/>
          <w:b/>
          <w:sz w:val="24"/>
          <w:szCs w:val="24"/>
        </w:rPr>
        <w:t>Changes</w:t>
      </w:r>
      <w:r>
        <w:rPr>
          <w:rFonts w:ascii="Times New Roman" w:hAnsi="Times New Roman" w:cs="Times New Roman"/>
          <w:bCs/>
          <w:sz w:val="24"/>
          <w:szCs w:val="24"/>
        </w:rPr>
        <w:t xml:space="preserve">:  None.  </w:t>
      </w:r>
    </w:p>
    <w:bookmarkEnd w:id="12"/>
    <w:p w14:paraId="635BE987" w14:textId="287244F3" w:rsidR="002F7186" w:rsidRPr="00773152" w:rsidRDefault="002F7186" w:rsidP="002F7186">
      <w:pPr>
        <w:rPr>
          <w:rFonts w:ascii="Times New Roman" w:hAnsi="Times New Roman" w:cs="Times New Roman"/>
          <w:sz w:val="24"/>
          <w:szCs w:val="24"/>
        </w:rPr>
      </w:pPr>
      <w:r w:rsidRPr="00773152">
        <w:rPr>
          <w:rFonts w:ascii="Times New Roman" w:hAnsi="Times New Roman" w:cs="Times New Roman"/>
          <w:b/>
          <w:sz w:val="24"/>
          <w:szCs w:val="24"/>
        </w:rPr>
        <w:t>Alternatives</w:t>
      </w:r>
      <w:r w:rsidRPr="00773152">
        <w:rPr>
          <w:rFonts w:ascii="Times New Roman" w:hAnsi="Times New Roman" w:cs="Times New Roman"/>
          <w:sz w:val="24"/>
          <w:szCs w:val="24"/>
        </w:rPr>
        <w:t xml:space="preserve">  </w:t>
      </w:r>
    </w:p>
    <w:p w14:paraId="6564C1CC" w14:textId="57F1C1E1" w:rsidR="00736C46" w:rsidRPr="00773152" w:rsidRDefault="00DC2F6B" w:rsidP="00736C46">
      <w:pPr>
        <w:autoSpaceDE w:val="0"/>
        <w:autoSpaceDN w:val="0"/>
        <w:adjustRightInd w:val="0"/>
        <w:spacing w:after="0" w:line="240" w:lineRule="auto"/>
        <w:rPr>
          <w:rFonts w:ascii="Times New Roman" w:hAnsi="Times New Roman" w:cs="Times New Roman"/>
          <w:sz w:val="24"/>
          <w:szCs w:val="24"/>
        </w:rPr>
      </w:pPr>
      <w:r w:rsidRPr="00773152">
        <w:rPr>
          <w:rFonts w:ascii="Times New Roman" w:hAnsi="Times New Roman" w:cs="Times New Roman"/>
          <w:b/>
          <w:sz w:val="24"/>
          <w:szCs w:val="24"/>
        </w:rPr>
        <w:t>Comments</w:t>
      </w:r>
      <w:r w:rsidRPr="00773152">
        <w:rPr>
          <w:rFonts w:ascii="Times New Roman" w:hAnsi="Times New Roman" w:cs="Times New Roman"/>
          <w:sz w:val="24"/>
          <w:szCs w:val="24"/>
        </w:rPr>
        <w:t xml:space="preserve">:  Some commenters asserted that the Department should focus on training and outreach to </w:t>
      </w:r>
      <w:r w:rsidR="006A6F2F">
        <w:rPr>
          <w:rFonts w:ascii="Times New Roman" w:hAnsi="Times New Roman" w:cs="Times New Roman"/>
          <w:sz w:val="24"/>
          <w:szCs w:val="24"/>
        </w:rPr>
        <w:t>institution</w:t>
      </w:r>
      <w:r w:rsidRPr="00773152">
        <w:rPr>
          <w:rFonts w:ascii="Times New Roman" w:hAnsi="Times New Roman" w:cs="Times New Roman"/>
          <w:sz w:val="24"/>
          <w:szCs w:val="24"/>
        </w:rPr>
        <w:t xml:space="preserve">s regarding the existing statutory disclosure requirements instead of proceeding with this information collection request.  One commenter suggested the Department should withdraw the proposed information collection request pending the results of a self-study of the statutory and current agency guidance.  </w:t>
      </w:r>
      <w:r w:rsidR="00736C46" w:rsidRPr="00773152">
        <w:rPr>
          <w:rFonts w:ascii="Times New Roman" w:hAnsi="Times New Roman" w:cs="Times New Roman"/>
          <w:sz w:val="24"/>
          <w:szCs w:val="24"/>
        </w:rPr>
        <w:t xml:space="preserve">Some commenters suggested that the Department delay implementation of any new information collection requirement or submission method for a reasonable time to allow institutions sufficient opportunity to update procedures accordingly and provide staff training.  </w:t>
      </w:r>
      <w:r w:rsidR="005B642D" w:rsidRPr="00773152">
        <w:rPr>
          <w:rFonts w:ascii="Times New Roman" w:hAnsi="Times New Roman" w:cs="Times New Roman"/>
          <w:sz w:val="24"/>
          <w:szCs w:val="24"/>
        </w:rPr>
        <w:t xml:space="preserve">Other commenters suggested various ways that the Department could make the electronic reporting system efficient and user-friendly.  </w:t>
      </w:r>
      <w:r w:rsidR="00736C46" w:rsidRPr="00773152">
        <w:rPr>
          <w:rFonts w:ascii="Times New Roman" w:hAnsi="Times New Roman" w:cs="Times New Roman"/>
          <w:sz w:val="24"/>
          <w:szCs w:val="24"/>
        </w:rPr>
        <w:t xml:space="preserve">   </w:t>
      </w:r>
    </w:p>
    <w:p w14:paraId="1EB9B9D3" w14:textId="656B8D11" w:rsidR="00DC2F6B" w:rsidRPr="00773152" w:rsidRDefault="00B44CD8" w:rsidP="00DC2F6B">
      <w:pPr>
        <w:autoSpaceDE w:val="0"/>
        <w:autoSpaceDN w:val="0"/>
        <w:adjustRightInd w:val="0"/>
        <w:spacing w:after="0" w:line="240" w:lineRule="auto"/>
        <w:rPr>
          <w:rFonts w:ascii="Times New Roman" w:hAnsi="Times New Roman" w:cs="Times New Roman"/>
          <w:sz w:val="24"/>
          <w:szCs w:val="24"/>
        </w:rPr>
      </w:pPr>
      <w:r w:rsidRPr="00773152">
        <w:rPr>
          <w:rFonts w:ascii="Times New Roman" w:hAnsi="Times New Roman" w:cs="Times New Roman"/>
          <w:sz w:val="24"/>
          <w:szCs w:val="24"/>
        </w:rPr>
        <w:t xml:space="preserve">  </w:t>
      </w:r>
    </w:p>
    <w:p w14:paraId="561A9C55" w14:textId="77777777" w:rsidR="00DC2F6B" w:rsidRPr="00773152" w:rsidRDefault="00DC2F6B" w:rsidP="00DC2F6B">
      <w:pPr>
        <w:autoSpaceDE w:val="0"/>
        <w:autoSpaceDN w:val="0"/>
        <w:adjustRightInd w:val="0"/>
        <w:spacing w:after="0" w:line="240" w:lineRule="auto"/>
        <w:rPr>
          <w:rFonts w:ascii="Times New Roman" w:hAnsi="Times New Roman" w:cs="Times New Roman"/>
          <w:sz w:val="24"/>
          <w:szCs w:val="24"/>
        </w:rPr>
      </w:pPr>
    </w:p>
    <w:p w14:paraId="52C3EB9A" w14:textId="1D68B94D" w:rsidR="0020750E" w:rsidRDefault="00DC2F6B" w:rsidP="00DC2F6B">
      <w:pPr>
        <w:rPr>
          <w:rFonts w:ascii="Times New Roman" w:hAnsi="Times New Roman" w:cs="Times New Roman"/>
          <w:color w:val="000000"/>
          <w:sz w:val="24"/>
          <w:szCs w:val="24"/>
        </w:rPr>
      </w:pPr>
      <w:r w:rsidRPr="00773152">
        <w:rPr>
          <w:rFonts w:ascii="Times New Roman" w:hAnsi="Times New Roman" w:cs="Times New Roman"/>
          <w:b/>
          <w:color w:val="000000"/>
          <w:sz w:val="24"/>
          <w:szCs w:val="24"/>
        </w:rPr>
        <w:t>Response</w:t>
      </w:r>
      <w:r w:rsidRPr="00773152">
        <w:rPr>
          <w:rFonts w:ascii="Times New Roman" w:hAnsi="Times New Roman" w:cs="Times New Roman"/>
          <w:color w:val="000000"/>
          <w:sz w:val="24"/>
          <w:szCs w:val="24"/>
        </w:rPr>
        <w:t xml:space="preserve">:  </w:t>
      </w:r>
      <w:r w:rsidR="003D7130">
        <w:rPr>
          <w:rFonts w:ascii="Times New Roman" w:hAnsi="Times New Roman" w:cs="Times New Roman"/>
          <w:color w:val="000000"/>
          <w:sz w:val="24"/>
          <w:szCs w:val="24"/>
        </w:rPr>
        <w:t xml:space="preserve">Section 117 </w:t>
      </w:r>
      <w:r w:rsidR="0020750E">
        <w:rPr>
          <w:rFonts w:ascii="Times New Roman" w:hAnsi="Times New Roman" w:cs="Times New Roman"/>
          <w:color w:val="000000"/>
          <w:sz w:val="24"/>
          <w:szCs w:val="24"/>
        </w:rPr>
        <w:t xml:space="preserve">imposes disclosure requirements on </w:t>
      </w:r>
      <w:r w:rsidR="006A6F2F">
        <w:rPr>
          <w:rFonts w:ascii="Times New Roman" w:hAnsi="Times New Roman" w:cs="Times New Roman"/>
          <w:sz w:val="24"/>
          <w:szCs w:val="24"/>
        </w:rPr>
        <w:t>institution</w:t>
      </w:r>
      <w:r w:rsidR="0020750E">
        <w:rPr>
          <w:rFonts w:ascii="Times New Roman" w:hAnsi="Times New Roman" w:cs="Times New Roman"/>
          <w:color w:val="000000"/>
          <w:sz w:val="24"/>
          <w:szCs w:val="24"/>
        </w:rPr>
        <w:t>s</w:t>
      </w:r>
      <w:r w:rsidR="00FC4368">
        <w:rPr>
          <w:rFonts w:ascii="Times New Roman" w:hAnsi="Times New Roman" w:cs="Times New Roman"/>
          <w:color w:val="000000"/>
          <w:sz w:val="24"/>
          <w:szCs w:val="24"/>
        </w:rPr>
        <w:t xml:space="preserve"> and oversight obligations on the Department</w:t>
      </w:r>
      <w:r w:rsidR="0020750E">
        <w:rPr>
          <w:rFonts w:ascii="Times New Roman" w:hAnsi="Times New Roman" w:cs="Times New Roman"/>
          <w:color w:val="000000"/>
          <w:sz w:val="24"/>
          <w:szCs w:val="24"/>
        </w:rPr>
        <w:t xml:space="preserve">.  For over 30 years, the Department has </w:t>
      </w:r>
      <w:r w:rsidR="003D7130">
        <w:rPr>
          <w:rFonts w:ascii="Times New Roman" w:hAnsi="Times New Roman" w:cs="Times New Roman"/>
          <w:color w:val="000000"/>
          <w:sz w:val="24"/>
          <w:szCs w:val="24"/>
        </w:rPr>
        <w:t>relied on the statute and guidance to</w:t>
      </w:r>
      <w:r w:rsidR="0020750E">
        <w:rPr>
          <w:rFonts w:ascii="Times New Roman" w:hAnsi="Times New Roman" w:cs="Times New Roman"/>
          <w:color w:val="000000"/>
          <w:sz w:val="24"/>
          <w:szCs w:val="24"/>
        </w:rPr>
        <w:t xml:space="preserve"> assist </w:t>
      </w:r>
      <w:r w:rsidR="006A6F2F">
        <w:rPr>
          <w:rFonts w:ascii="Times New Roman" w:hAnsi="Times New Roman" w:cs="Times New Roman"/>
          <w:sz w:val="24"/>
          <w:szCs w:val="24"/>
        </w:rPr>
        <w:t>institution</w:t>
      </w:r>
      <w:r w:rsidR="0020750E">
        <w:rPr>
          <w:rFonts w:ascii="Times New Roman" w:hAnsi="Times New Roman" w:cs="Times New Roman"/>
          <w:color w:val="000000"/>
          <w:sz w:val="24"/>
          <w:szCs w:val="24"/>
        </w:rPr>
        <w:t xml:space="preserve">s </w:t>
      </w:r>
      <w:r w:rsidR="003D7130">
        <w:rPr>
          <w:rFonts w:ascii="Times New Roman" w:hAnsi="Times New Roman" w:cs="Times New Roman"/>
          <w:color w:val="000000"/>
          <w:sz w:val="24"/>
          <w:szCs w:val="24"/>
        </w:rPr>
        <w:t xml:space="preserve">in </w:t>
      </w:r>
      <w:r w:rsidR="0020750E">
        <w:rPr>
          <w:rFonts w:ascii="Times New Roman" w:hAnsi="Times New Roman" w:cs="Times New Roman"/>
          <w:color w:val="000000"/>
          <w:sz w:val="24"/>
          <w:szCs w:val="24"/>
        </w:rPr>
        <w:t>fulfill</w:t>
      </w:r>
      <w:r w:rsidR="003D7130">
        <w:rPr>
          <w:rFonts w:ascii="Times New Roman" w:hAnsi="Times New Roman" w:cs="Times New Roman"/>
          <w:color w:val="000000"/>
          <w:sz w:val="24"/>
          <w:szCs w:val="24"/>
        </w:rPr>
        <w:t>ing</w:t>
      </w:r>
      <w:r w:rsidR="0020750E">
        <w:rPr>
          <w:rFonts w:ascii="Times New Roman" w:hAnsi="Times New Roman" w:cs="Times New Roman"/>
          <w:color w:val="000000"/>
          <w:sz w:val="24"/>
          <w:szCs w:val="24"/>
        </w:rPr>
        <w:t xml:space="preserve"> their statutory disclosure obligations.  </w:t>
      </w:r>
      <w:r w:rsidR="00FC4368">
        <w:rPr>
          <w:rFonts w:ascii="Times New Roman" w:hAnsi="Times New Roman" w:cs="Times New Roman"/>
          <w:color w:val="000000"/>
          <w:sz w:val="24"/>
          <w:szCs w:val="24"/>
        </w:rPr>
        <w:t xml:space="preserve">Recent reports by oversight entities and information gathered through several compliance investigations demonstrated the </w:t>
      </w:r>
      <w:r w:rsidR="00E579AA">
        <w:rPr>
          <w:rFonts w:ascii="Times New Roman" w:hAnsi="Times New Roman" w:cs="Times New Roman"/>
          <w:color w:val="000000"/>
          <w:sz w:val="24"/>
          <w:szCs w:val="24"/>
        </w:rPr>
        <w:t xml:space="preserve">need to </w:t>
      </w:r>
      <w:r w:rsidR="003D7130">
        <w:rPr>
          <w:rFonts w:ascii="Times New Roman" w:hAnsi="Times New Roman" w:cs="Times New Roman"/>
          <w:color w:val="000000"/>
          <w:sz w:val="24"/>
          <w:szCs w:val="24"/>
        </w:rPr>
        <w:t>revise this approach to improve compliance with</w:t>
      </w:r>
      <w:r w:rsidR="00E579AA">
        <w:rPr>
          <w:rFonts w:ascii="Times New Roman" w:hAnsi="Times New Roman" w:cs="Times New Roman"/>
          <w:color w:val="000000"/>
          <w:sz w:val="24"/>
          <w:szCs w:val="24"/>
        </w:rPr>
        <w:t xml:space="preserve"> statutory </w:t>
      </w:r>
      <w:r w:rsidR="003D7130">
        <w:rPr>
          <w:rFonts w:ascii="Times New Roman" w:hAnsi="Times New Roman" w:cs="Times New Roman"/>
          <w:color w:val="000000"/>
          <w:sz w:val="24"/>
          <w:szCs w:val="24"/>
        </w:rPr>
        <w:t>requirements</w:t>
      </w:r>
      <w:r w:rsidR="00E579AA">
        <w:rPr>
          <w:rFonts w:ascii="Times New Roman" w:hAnsi="Times New Roman" w:cs="Times New Roman"/>
          <w:color w:val="000000"/>
          <w:sz w:val="24"/>
          <w:szCs w:val="24"/>
        </w:rPr>
        <w:t xml:space="preserve">.  </w:t>
      </w:r>
      <w:r w:rsidR="00FC453A" w:rsidRPr="00FC453A">
        <w:t xml:space="preserve"> </w:t>
      </w:r>
      <w:r w:rsidR="00FC453A" w:rsidRPr="00FC453A">
        <w:rPr>
          <w:rFonts w:ascii="Times New Roman" w:hAnsi="Times New Roman" w:cs="Times New Roman"/>
          <w:color w:val="000000"/>
          <w:sz w:val="24"/>
          <w:szCs w:val="24"/>
        </w:rPr>
        <w:t>At all steps in this process, the Department has considered alternatives</w:t>
      </w:r>
      <w:r w:rsidR="00FC453A">
        <w:rPr>
          <w:rFonts w:ascii="Times New Roman" w:hAnsi="Times New Roman" w:cs="Times New Roman"/>
          <w:color w:val="000000"/>
          <w:sz w:val="24"/>
          <w:szCs w:val="24"/>
        </w:rPr>
        <w:t>, including those specified by the commenters,</w:t>
      </w:r>
      <w:r w:rsidR="00FC453A" w:rsidRPr="00FC453A">
        <w:rPr>
          <w:rFonts w:ascii="Times New Roman" w:hAnsi="Times New Roman" w:cs="Times New Roman"/>
          <w:color w:val="000000"/>
          <w:sz w:val="24"/>
          <w:szCs w:val="24"/>
        </w:rPr>
        <w:t xml:space="preserve"> to achieve the goal of ensuring that </w:t>
      </w:r>
      <w:r w:rsidR="00282C1D">
        <w:rPr>
          <w:rFonts w:ascii="Times New Roman" w:hAnsi="Times New Roman" w:cs="Times New Roman"/>
          <w:color w:val="000000"/>
          <w:sz w:val="24"/>
          <w:szCs w:val="24"/>
        </w:rPr>
        <w:t>institution</w:t>
      </w:r>
      <w:r w:rsidR="00FC453A" w:rsidRPr="00FC453A">
        <w:rPr>
          <w:rFonts w:ascii="Times New Roman" w:hAnsi="Times New Roman" w:cs="Times New Roman"/>
          <w:color w:val="000000"/>
          <w:sz w:val="24"/>
          <w:szCs w:val="24"/>
        </w:rPr>
        <w:t xml:space="preserve">s are disclosing gifts and contracts from foreign sources when required.  </w:t>
      </w:r>
      <w:r w:rsidR="00FC453A">
        <w:rPr>
          <w:rFonts w:ascii="Times New Roman" w:hAnsi="Times New Roman" w:cs="Times New Roman"/>
          <w:color w:val="000000"/>
          <w:sz w:val="24"/>
          <w:szCs w:val="24"/>
        </w:rPr>
        <w:t>We</w:t>
      </w:r>
      <w:r w:rsidR="00E579AA">
        <w:rPr>
          <w:rFonts w:ascii="Times New Roman" w:hAnsi="Times New Roman" w:cs="Times New Roman"/>
          <w:color w:val="000000"/>
          <w:sz w:val="24"/>
          <w:szCs w:val="24"/>
        </w:rPr>
        <w:t xml:space="preserve"> determined the most effective means of enabling </w:t>
      </w:r>
      <w:r w:rsidR="006A6F2F">
        <w:rPr>
          <w:rFonts w:ascii="Times New Roman" w:hAnsi="Times New Roman" w:cs="Times New Roman"/>
          <w:sz w:val="24"/>
          <w:szCs w:val="24"/>
        </w:rPr>
        <w:t>institutions</w:t>
      </w:r>
      <w:r w:rsidR="00E579AA">
        <w:rPr>
          <w:rFonts w:ascii="Times New Roman" w:hAnsi="Times New Roman" w:cs="Times New Roman"/>
          <w:color w:val="000000"/>
          <w:sz w:val="24"/>
          <w:szCs w:val="24"/>
        </w:rPr>
        <w:t xml:space="preserve"> </w:t>
      </w:r>
      <w:r w:rsidR="003D7130">
        <w:rPr>
          <w:rFonts w:ascii="Times New Roman" w:hAnsi="Times New Roman" w:cs="Times New Roman"/>
          <w:color w:val="000000"/>
          <w:sz w:val="24"/>
          <w:szCs w:val="24"/>
        </w:rPr>
        <w:t xml:space="preserve">to </w:t>
      </w:r>
      <w:r w:rsidR="00E579AA">
        <w:rPr>
          <w:rFonts w:ascii="Times New Roman" w:hAnsi="Times New Roman" w:cs="Times New Roman"/>
          <w:color w:val="000000"/>
          <w:sz w:val="24"/>
          <w:szCs w:val="24"/>
        </w:rPr>
        <w:t>compl</w:t>
      </w:r>
      <w:r w:rsidR="006A6F2F">
        <w:rPr>
          <w:rFonts w:ascii="Times New Roman" w:hAnsi="Times New Roman" w:cs="Times New Roman"/>
          <w:color w:val="000000"/>
          <w:sz w:val="24"/>
          <w:szCs w:val="24"/>
        </w:rPr>
        <w:t>y</w:t>
      </w:r>
      <w:r w:rsidR="00E579AA">
        <w:rPr>
          <w:rFonts w:ascii="Times New Roman" w:hAnsi="Times New Roman" w:cs="Times New Roman"/>
          <w:color w:val="000000"/>
          <w:sz w:val="24"/>
          <w:szCs w:val="24"/>
        </w:rPr>
        <w:t xml:space="preserve"> with 20 U.S.C. 1011f would be to </w:t>
      </w:r>
      <w:r w:rsidR="008279B6">
        <w:rPr>
          <w:rFonts w:ascii="Times New Roman" w:hAnsi="Times New Roman" w:cs="Times New Roman"/>
          <w:color w:val="000000"/>
          <w:sz w:val="24"/>
          <w:szCs w:val="24"/>
        </w:rPr>
        <w:t>clarify the specific information they must disclose</w:t>
      </w:r>
      <w:r w:rsidR="0045441A">
        <w:rPr>
          <w:rFonts w:ascii="Times New Roman" w:hAnsi="Times New Roman" w:cs="Times New Roman"/>
          <w:color w:val="000000"/>
          <w:sz w:val="24"/>
          <w:szCs w:val="24"/>
        </w:rPr>
        <w:t xml:space="preserve">.  </w:t>
      </w:r>
      <w:r w:rsidR="003D7130" w:rsidRPr="003D7130">
        <w:rPr>
          <w:rFonts w:ascii="Times New Roman" w:hAnsi="Times New Roman" w:cs="Times New Roman"/>
          <w:color w:val="000000"/>
          <w:sz w:val="24"/>
          <w:szCs w:val="24"/>
        </w:rPr>
        <w:t xml:space="preserve">The need for improvement is immediate. </w:t>
      </w:r>
      <w:r w:rsidR="0045441A">
        <w:rPr>
          <w:rFonts w:ascii="Times New Roman" w:hAnsi="Times New Roman" w:cs="Times New Roman"/>
          <w:color w:val="000000"/>
          <w:sz w:val="24"/>
          <w:szCs w:val="24"/>
        </w:rPr>
        <w:t xml:space="preserve">The Department is working very hard to </w:t>
      </w:r>
      <w:r w:rsidR="0019795A">
        <w:rPr>
          <w:rFonts w:ascii="Times New Roman" w:hAnsi="Times New Roman" w:cs="Times New Roman"/>
          <w:color w:val="000000"/>
          <w:sz w:val="24"/>
          <w:szCs w:val="24"/>
        </w:rPr>
        <w:t>implement</w:t>
      </w:r>
      <w:r w:rsidR="0045441A">
        <w:rPr>
          <w:rFonts w:ascii="Times New Roman" w:hAnsi="Times New Roman" w:cs="Times New Roman"/>
          <w:color w:val="000000"/>
          <w:sz w:val="24"/>
          <w:szCs w:val="24"/>
        </w:rPr>
        <w:t xml:space="preserve"> an electronic system to streamline the reporting</w:t>
      </w:r>
      <w:r w:rsidR="003235B1">
        <w:rPr>
          <w:rFonts w:ascii="Times New Roman" w:hAnsi="Times New Roman" w:cs="Times New Roman"/>
          <w:color w:val="000000"/>
          <w:sz w:val="24"/>
          <w:szCs w:val="24"/>
        </w:rPr>
        <w:t xml:space="preserve"> and public disclosure</w:t>
      </w:r>
      <w:r w:rsidR="0045441A">
        <w:rPr>
          <w:rFonts w:ascii="Times New Roman" w:hAnsi="Times New Roman" w:cs="Times New Roman"/>
          <w:color w:val="000000"/>
          <w:sz w:val="24"/>
          <w:szCs w:val="24"/>
        </w:rPr>
        <w:t xml:space="preserve"> process and will work to improve that system moving forward.  </w:t>
      </w:r>
    </w:p>
    <w:p w14:paraId="7D1BD0AE" w14:textId="083EA53D" w:rsidR="002F7186" w:rsidRPr="00773152" w:rsidRDefault="002F7186" w:rsidP="002F7186">
      <w:pPr>
        <w:rPr>
          <w:rFonts w:ascii="Times New Roman" w:hAnsi="Times New Roman" w:cs="Times New Roman"/>
          <w:b/>
          <w:sz w:val="24"/>
          <w:szCs w:val="24"/>
        </w:rPr>
      </w:pPr>
      <w:r w:rsidRPr="00773152">
        <w:rPr>
          <w:rFonts w:ascii="Times New Roman" w:hAnsi="Times New Roman" w:cs="Times New Roman"/>
          <w:b/>
          <w:sz w:val="24"/>
          <w:szCs w:val="24"/>
        </w:rPr>
        <w:t xml:space="preserve">Procedural </w:t>
      </w:r>
      <w:r w:rsidR="006C411F" w:rsidRPr="00773152">
        <w:rPr>
          <w:rFonts w:ascii="Times New Roman" w:hAnsi="Times New Roman" w:cs="Times New Roman"/>
          <w:b/>
          <w:sz w:val="24"/>
          <w:szCs w:val="24"/>
        </w:rPr>
        <w:t>Issues</w:t>
      </w:r>
    </w:p>
    <w:p w14:paraId="158415DD" w14:textId="45B739BD" w:rsidR="00C10EFE" w:rsidRPr="00773152" w:rsidRDefault="0012764F" w:rsidP="00C10EFE">
      <w:pPr>
        <w:rPr>
          <w:rFonts w:ascii="Times New Roman" w:hAnsi="Times New Roman" w:cs="Times New Roman"/>
          <w:sz w:val="24"/>
          <w:szCs w:val="24"/>
        </w:rPr>
      </w:pPr>
      <w:r w:rsidRPr="00773152">
        <w:rPr>
          <w:rFonts w:ascii="Times New Roman" w:hAnsi="Times New Roman" w:cs="Times New Roman"/>
          <w:b/>
          <w:sz w:val="24"/>
          <w:szCs w:val="24"/>
        </w:rPr>
        <w:t xml:space="preserve">Comments:  </w:t>
      </w:r>
      <w:r w:rsidRPr="00773152">
        <w:rPr>
          <w:rFonts w:ascii="Times New Roman" w:hAnsi="Times New Roman" w:cs="Times New Roman"/>
          <w:sz w:val="24"/>
          <w:szCs w:val="24"/>
        </w:rPr>
        <w:t>Some commenters asserted that t</w:t>
      </w:r>
      <w:r w:rsidR="00BF733E" w:rsidRPr="00773152">
        <w:rPr>
          <w:rFonts w:ascii="Times New Roman" w:hAnsi="Times New Roman" w:cs="Times New Roman"/>
          <w:sz w:val="24"/>
          <w:szCs w:val="24"/>
        </w:rPr>
        <w:t xml:space="preserve">he Department’s approach to clarifying </w:t>
      </w:r>
      <w:r w:rsidRPr="00773152">
        <w:rPr>
          <w:rFonts w:ascii="Times New Roman" w:hAnsi="Times New Roman" w:cs="Times New Roman"/>
          <w:sz w:val="24"/>
          <w:szCs w:val="24"/>
        </w:rPr>
        <w:t xml:space="preserve">what must be disclosed under 20 U.S.C. 1011f </w:t>
      </w:r>
      <w:r w:rsidR="00BF733E" w:rsidRPr="00773152">
        <w:rPr>
          <w:rFonts w:ascii="Times New Roman" w:hAnsi="Times New Roman" w:cs="Times New Roman"/>
          <w:sz w:val="24"/>
          <w:szCs w:val="24"/>
        </w:rPr>
        <w:t xml:space="preserve">through the use of an information collection request is in direct contradiction with Executive Order (EO) 13891 on “Promoting the Rule of Law Through Improved Agency Guidance Documents.”  </w:t>
      </w:r>
      <w:r w:rsidRPr="00773152">
        <w:rPr>
          <w:rFonts w:ascii="Times New Roman" w:hAnsi="Times New Roman" w:cs="Times New Roman"/>
          <w:sz w:val="24"/>
          <w:szCs w:val="24"/>
        </w:rPr>
        <w:t xml:space="preserve">Other commenters believe </w:t>
      </w:r>
      <w:r w:rsidR="00C10EFE" w:rsidRPr="00773152">
        <w:rPr>
          <w:rFonts w:ascii="Times New Roman" w:hAnsi="Times New Roman" w:cs="Times New Roman"/>
          <w:sz w:val="24"/>
          <w:szCs w:val="24"/>
        </w:rPr>
        <w:t xml:space="preserve">the Department </w:t>
      </w:r>
      <w:r w:rsidRPr="00773152">
        <w:rPr>
          <w:rFonts w:ascii="Times New Roman" w:hAnsi="Times New Roman" w:cs="Times New Roman"/>
          <w:sz w:val="24"/>
          <w:szCs w:val="24"/>
        </w:rPr>
        <w:t>should clarify 20 U.S.C. 1011f by issuing</w:t>
      </w:r>
      <w:r w:rsidR="00C10EFE" w:rsidRPr="00773152">
        <w:rPr>
          <w:rFonts w:ascii="Times New Roman" w:hAnsi="Times New Roman" w:cs="Times New Roman"/>
          <w:sz w:val="24"/>
          <w:szCs w:val="24"/>
        </w:rPr>
        <w:t xml:space="preserve"> new guidance, or clarification to previous guidance, </w:t>
      </w:r>
      <w:r w:rsidRPr="00773152">
        <w:rPr>
          <w:rFonts w:ascii="Times New Roman" w:hAnsi="Times New Roman" w:cs="Times New Roman"/>
          <w:sz w:val="24"/>
          <w:szCs w:val="24"/>
        </w:rPr>
        <w:t>rather than through this information collection request</w:t>
      </w:r>
      <w:r w:rsidR="00C10EFE" w:rsidRPr="00773152">
        <w:rPr>
          <w:rFonts w:ascii="Times New Roman" w:hAnsi="Times New Roman" w:cs="Times New Roman"/>
          <w:sz w:val="24"/>
          <w:szCs w:val="24"/>
        </w:rPr>
        <w:t xml:space="preserve">.    </w:t>
      </w:r>
    </w:p>
    <w:p w14:paraId="168DD0EA" w14:textId="02FDF8DA" w:rsidR="0012764F" w:rsidRPr="00773152" w:rsidRDefault="0012764F" w:rsidP="00C10EFE">
      <w:pPr>
        <w:rPr>
          <w:rFonts w:ascii="Times New Roman" w:hAnsi="Times New Roman" w:cs="Times New Roman"/>
          <w:sz w:val="24"/>
          <w:szCs w:val="24"/>
        </w:rPr>
      </w:pPr>
      <w:r w:rsidRPr="00773152">
        <w:rPr>
          <w:rFonts w:ascii="Times New Roman" w:hAnsi="Times New Roman" w:cs="Times New Roman"/>
          <w:b/>
          <w:sz w:val="24"/>
          <w:szCs w:val="24"/>
        </w:rPr>
        <w:t>Response</w:t>
      </w:r>
      <w:r w:rsidRPr="00773152">
        <w:rPr>
          <w:rFonts w:ascii="Times New Roman" w:hAnsi="Times New Roman" w:cs="Times New Roman"/>
          <w:sz w:val="24"/>
          <w:szCs w:val="24"/>
        </w:rPr>
        <w:t>:</w:t>
      </w:r>
      <w:r w:rsidR="00502AC3" w:rsidRPr="00773152">
        <w:rPr>
          <w:rFonts w:ascii="Times New Roman" w:hAnsi="Times New Roman" w:cs="Times New Roman"/>
          <w:sz w:val="24"/>
          <w:szCs w:val="24"/>
        </w:rPr>
        <w:t xml:space="preserve">  </w:t>
      </w:r>
      <w:r w:rsidR="006C487C" w:rsidRPr="00773152">
        <w:rPr>
          <w:rFonts w:ascii="Times New Roman" w:hAnsi="Times New Roman" w:cs="Times New Roman"/>
          <w:sz w:val="24"/>
          <w:szCs w:val="24"/>
        </w:rPr>
        <w:t xml:space="preserve">As explained in section 1 of EO 13891, the EO is </w:t>
      </w:r>
      <w:r w:rsidR="00FB3DBF" w:rsidRPr="00773152">
        <w:rPr>
          <w:rFonts w:ascii="Times New Roman" w:hAnsi="Times New Roman" w:cs="Times New Roman"/>
          <w:sz w:val="24"/>
          <w:szCs w:val="24"/>
        </w:rPr>
        <w:t xml:space="preserve">designed </w:t>
      </w:r>
      <w:r w:rsidR="006C487C" w:rsidRPr="00773152">
        <w:rPr>
          <w:rFonts w:ascii="Times New Roman" w:hAnsi="Times New Roman" w:cs="Times New Roman"/>
          <w:sz w:val="24"/>
          <w:szCs w:val="24"/>
        </w:rPr>
        <w:t xml:space="preserve">to </w:t>
      </w:r>
      <w:r w:rsidR="00FB3DBF" w:rsidRPr="00773152">
        <w:rPr>
          <w:rFonts w:ascii="Times New Roman" w:hAnsi="Times New Roman" w:cs="Times New Roman"/>
          <w:sz w:val="24"/>
          <w:szCs w:val="24"/>
        </w:rPr>
        <w:t xml:space="preserve">ensure that an agency generally does not announce new obligations through a guidance document.  The EO reflects a policy concern that guidance documents do not always go through notice and comment and they are not always published in the Federal Register.  Here, the Department’s information collection request was published in the Federal Register and we have provided </w:t>
      </w:r>
      <w:r w:rsidR="00995267" w:rsidRPr="008B2282">
        <w:rPr>
          <w:rFonts w:ascii="Times New Roman" w:hAnsi="Times New Roman" w:cs="Times New Roman"/>
          <w:sz w:val="24"/>
          <w:szCs w:val="24"/>
        </w:rPr>
        <w:t>an opportunity</w:t>
      </w:r>
      <w:r w:rsidR="00FB3DBF" w:rsidRPr="00773152">
        <w:rPr>
          <w:rFonts w:ascii="Times New Roman" w:hAnsi="Times New Roman" w:cs="Times New Roman"/>
          <w:sz w:val="24"/>
          <w:szCs w:val="24"/>
        </w:rPr>
        <w:t xml:space="preserve"> for notice and comment, in accordance with the Paperwork Reduction Act</w:t>
      </w:r>
      <w:r w:rsidR="002040F6" w:rsidRPr="00773152">
        <w:rPr>
          <w:rFonts w:ascii="Times New Roman" w:hAnsi="Times New Roman" w:cs="Times New Roman"/>
          <w:sz w:val="24"/>
          <w:szCs w:val="24"/>
        </w:rPr>
        <w:t xml:space="preserve"> (PRA)</w:t>
      </w:r>
      <w:r w:rsidR="00FB3DBF" w:rsidRPr="00773152">
        <w:rPr>
          <w:rFonts w:ascii="Times New Roman" w:hAnsi="Times New Roman" w:cs="Times New Roman"/>
          <w:sz w:val="24"/>
          <w:szCs w:val="24"/>
        </w:rPr>
        <w:t>.  Furthermore, we believe that the PRA process is the proper process to follow when, as is the case here, the Department is merely collecting information</w:t>
      </w:r>
      <w:r w:rsidR="007C274E">
        <w:rPr>
          <w:rFonts w:ascii="Times New Roman" w:hAnsi="Times New Roman" w:cs="Times New Roman"/>
          <w:sz w:val="24"/>
          <w:szCs w:val="24"/>
        </w:rPr>
        <w:t xml:space="preserve"> pursuant to a statutory requirement</w:t>
      </w:r>
      <w:r w:rsidR="00194551" w:rsidRPr="00773152">
        <w:rPr>
          <w:rFonts w:ascii="Times New Roman" w:hAnsi="Times New Roman" w:cs="Times New Roman"/>
          <w:sz w:val="24"/>
          <w:szCs w:val="24"/>
        </w:rPr>
        <w:t xml:space="preserve">.  </w:t>
      </w:r>
    </w:p>
    <w:p w14:paraId="2AEA152E" w14:textId="7AB37558" w:rsidR="0012764F" w:rsidRPr="00773152" w:rsidRDefault="0012764F" w:rsidP="00C10EFE">
      <w:pPr>
        <w:rPr>
          <w:rFonts w:ascii="Times New Roman" w:hAnsi="Times New Roman" w:cs="Times New Roman"/>
          <w:sz w:val="24"/>
          <w:szCs w:val="24"/>
        </w:rPr>
      </w:pPr>
      <w:r w:rsidRPr="00773152">
        <w:rPr>
          <w:rFonts w:ascii="Times New Roman" w:hAnsi="Times New Roman" w:cs="Times New Roman"/>
          <w:b/>
          <w:sz w:val="24"/>
          <w:szCs w:val="24"/>
        </w:rPr>
        <w:t>Changes</w:t>
      </w:r>
      <w:r w:rsidRPr="00773152">
        <w:rPr>
          <w:rFonts w:ascii="Times New Roman" w:hAnsi="Times New Roman" w:cs="Times New Roman"/>
          <w:sz w:val="24"/>
          <w:szCs w:val="24"/>
        </w:rPr>
        <w:t>:</w:t>
      </w:r>
      <w:r w:rsidR="00CD55A9" w:rsidRPr="00773152">
        <w:rPr>
          <w:rFonts w:ascii="Times New Roman" w:hAnsi="Times New Roman" w:cs="Times New Roman"/>
          <w:sz w:val="24"/>
          <w:szCs w:val="24"/>
        </w:rPr>
        <w:t xml:space="preserve">  None.  </w:t>
      </w:r>
    </w:p>
    <w:p w14:paraId="692B29D6" w14:textId="7D2BD6EB" w:rsidR="00BF733E" w:rsidRPr="00773152" w:rsidRDefault="0012764F" w:rsidP="00BF733E">
      <w:pPr>
        <w:autoSpaceDE w:val="0"/>
        <w:autoSpaceDN w:val="0"/>
        <w:adjustRightInd w:val="0"/>
        <w:spacing w:after="0" w:line="240" w:lineRule="auto"/>
        <w:rPr>
          <w:rFonts w:ascii="Times New Roman" w:hAnsi="Times New Roman" w:cs="Times New Roman"/>
          <w:sz w:val="24"/>
          <w:szCs w:val="24"/>
        </w:rPr>
      </w:pPr>
      <w:r w:rsidRPr="00773152">
        <w:rPr>
          <w:rFonts w:ascii="Times New Roman" w:hAnsi="Times New Roman" w:cs="Times New Roman"/>
          <w:b/>
          <w:sz w:val="24"/>
          <w:szCs w:val="24"/>
        </w:rPr>
        <w:t>Comments</w:t>
      </w:r>
      <w:r w:rsidRPr="00773152">
        <w:rPr>
          <w:rFonts w:ascii="Times New Roman" w:hAnsi="Times New Roman" w:cs="Times New Roman"/>
          <w:sz w:val="24"/>
          <w:szCs w:val="24"/>
        </w:rPr>
        <w:t>:  Some commenters suggested the Department clarify 20 U.S.C. 1011f through</w:t>
      </w:r>
      <w:r w:rsidR="00BF733E" w:rsidRPr="00773152">
        <w:rPr>
          <w:rFonts w:ascii="Times New Roman" w:hAnsi="Times New Roman" w:cs="Times New Roman"/>
          <w:sz w:val="24"/>
          <w:szCs w:val="24"/>
        </w:rPr>
        <w:t xml:space="preserve"> negotiated rulemaking </w:t>
      </w:r>
      <w:r w:rsidRPr="00773152">
        <w:rPr>
          <w:rFonts w:ascii="Times New Roman" w:hAnsi="Times New Roman" w:cs="Times New Roman"/>
          <w:sz w:val="24"/>
          <w:szCs w:val="24"/>
        </w:rPr>
        <w:t xml:space="preserve">under </w:t>
      </w:r>
      <w:r w:rsidR="00BF733E" w:rsidRPr="00773152">
        <w:rPr>
          <w:rFonts w:ascii="Times New Roman" w:hAnsi="Times New Roman" w:cs="Times New Roman"/>
          <w:sz w:val="24"/>
          <w:szCs w:val="24"/>
        </w:rPr>
        <w:t>20 U.S.C. 1098.</w:t>
      </w:r>
      <w:r w:rsidRPr="00773152">
        <w:rPr>
          <w:rFonts w:ascii="Times New Roman" w:hAnsi="Times New Roman" w:cs="Times New Roman"/>
          <w:sz w:val="24"/>
          <w:szCs w:val="24"/>
        </w:rPr>
        <w:t xml:space="preserve">  Other commenters believe that </w:t>
      </w:r>
      <w:r w:rsidR="00BF733E" w:rsidRPr="00773152">
        <w:rPr>
          <w:rFonts w:ascii="Times New Roman" w:hAnsi="Times New Roman" w:cs="Times New Roman"/>
          <w:sz w:val="24"/>
          <w:szCs w:val="24"/>
        </w:rPr>
        <w:t xml:space="preserve">that Department </w:t>
      </w:r>
      <w:r w:rsidRPr="00773152">
        <w:rPr>
          <w:rFonts w:ascii="Times New Roman" w:hAnsi="Times New Roman" w:cs="Times New Roman"/>
          <w:sz w:val="24"/>
          <w:szCs w:val="24"/>
        </w:rPr>
        <w:t xml:space="preserve">is required to conduct </w:t>
      </w:r>
      <w:r w:rsidR="00BF733E" w:rsidRPr="00773152">
        <w:rPr>
          <w:rFonts w:ascii="Times New Roman" w:hAnsi="Times New Roman" w:cs="Times New Roman"/>
          <w:sz w:val="24"/>
          <w:szCs w:val="24"/>
        </w:rPr>
        <w:t>notice-and-comment</w:t>
      </w:r>
      <w:r w:rsidRPr="00773152">
        <w:rPr>
          <w:rFonts w:ascii="Times New Roman" w:hAnsi="Times New Roman" w:cs="Times New Roman"/>
          <w:sz w:val="24"/>
          <w:szCs w:val="24"/>
        </w:rPr>
        <w:t xml:space="preserve"> </w:t>
      </w:r>
      <w:r w:rsidR="00BF733E" w:rsidRPr="00773152">
        <w:rPr>
          <w:rFonts w:ascii="Times New Roman" w:hAnsi="Times New Roman" w:cs="Times New Roman"/>
          <w:sz w:val="24"/>
          <w:szCs w:val="24"/>
        </w:rPr>
        <w:t xml:space="preserve">rulemaking under the Administrative Procedure Act </w:t>
      </w:r>
      <w:r w:rsidRPr="00773152">
        <w:rPr>
          <w:rFonts w:ascii="Times New Roman" w:hAnsi="Times New Roman" w:cs="Times New Roman"/>
          <w:sz w:val="24"/>
          <w:szCs w:val="24"/>
        </w:rPr>
        <w:t xml:space="preserve">before it may require </w:t>
      </w:r>
      <w:r w:rsidR="006A6F2F">
        <w:rPr>
          <w:rFonts w:ascii="Times New Roman" w:hAnsi="Times New Roman" w:cs="Times New Roman"/>
          <w:sz w:val="24"/>
          <w:szCs w:val="24"/>
        </w:rPr>
        <w:t>institution</w:t>
      </w:r>
      <w:r w:rsidRPr="00773152">
        <w:rPr>
          <w:rFonts w:ascii="Times New Roman" w:hAnsi="Times New Roman" w:cs="Times New Roman"/>
          <w:sz w:val="24"/>
          <w:szCs w:val="24"/>
        </w:rPr>
        <w:t>s to disclose this information</w:t>
      </w:r>
      <w:r w:rsidR="00553F01" w:rsidRPr="00773152">
        <w:rPr>
          <w:rFonts w:ascii="Times New Roman" w:hAnsi="Times New Roman" w:cs="Times New Roman"/>
          <w:sz w:val="24"/>
          <w:szCs w:val="24"/>
        </w:rPr>
        <w:t xml:space="preserve"> and that the Department’s action is a legislative ru</w:t>
      </w:r>
      <w:r w:rsidR="00787DB9" w:rsidRPr="00773152">
        <w:rPr>
          <w:rFonts w:ascii="Times New Roman" w:hAnsi="Times New Roman" w:cs="Times New Roman"/>
          <w:sz w:val="24"/>
          <w:szCs w:val="24"/>
        </w:rPr>
        <w:t>l</w:t>
      </w:r>
      <w:r w:rsidR="00553F01" w:rsidRPr="00773152">
        <w:rPr>
          <w:rFonts w:ascii="Times New Roman" w:hAnsi="Times New Roman" w:cs="Times New Roman"/>
          <w:sz w:val="24"/>
          <w:szCs w:val="24"/>
        </w:rPr>
        <w:t>e disguised as an information collection</w:t>
      </w:r>
      <w:r w:rsidR="00BF733E" w:rsidRPr="00773152">
        <w:rPr>
          <w:rFonts w:ascii="Times New Roman" w:hAnsi="Times New Roman" w:cs="Times New Roman"/>
          <w:sz w:val="24"/>
          <w:szCs w:val="24"/>
        </w:rPr>
        <w:t xml:space="preserve">.  </w:t>
      </w:r>
    </w:p>
    <w:p w14:paraId="37F0DC92" w14:textId="0A83E8D9" w:rsidR="00BF733E" w:rsidRPr="00773152" w:rsidRDefault="00BF733E" w:rsidP="00BF733E">
      <w:pPr>
        <w:autoSpaceDE w:val="0"/>
        <w:autoSpaceDN w:val="0"/>
        <w:adjustRightInd w:val="0"/>
        <w:spacing w:after="0" w:line="240" w:lineRule="auto"/>
        <w:rPr>
          <w:rFonts w:ascii="Times New Roman" w:eastAsia="Times New Roman" w:hAnsi="Times New Roman" w:cs="Times New Roman"/>
          <w:sz w:val="24"/>
          <w:szCs w:val="24"/>
        </w:rPr>
      </w:pPr>
    </w:p>
    <w:p w14:paraId="01888C00" w14:textId="1A9806E9" w:rsidR="00CB5E2F" w:rsidRPr="00773152" w:rsidRDefault="00CB5E2F" w:rsidP="00BF733E">
      <w:pPr>
        <w:autoSpaceDE w:val="0"/>
        <w:autoSpaceDN w:val="0"/>
        <w:adjustRightInd w:val="0"/>
        <w:spacing w:after="0" w:line="240" w:lineRule="auto"/>
        <w:rPr>
          <w:rFonts w:ascii="Times New Roman" w:eastAsia="Times New Roman" w:hAnsi="Times New Roman" w:cs="Times New Roman"/>
          <w:sz w:val="24"/>
          <w:szCs w:val="24"/>
        </w:rPr>
      </w:pPr>
      <w:r w:rsidRPr="00773152">
        <w:rPr>
          <w:rFonts w:ascii="Times New Roman" w:eastAsia="Times New Roman" w:hAnsi="Times New Roman" w:cs="Times New Roman"/>
          <w:b/>
          <w:sz w:val="24"/>
          <w:szCs w:val="24"/>
        </w:rPr>
        <w:t>Response</w:t>
      </w:r>
      <w:r w:rsidRPr="00773152">
        <w:rPr>
          <w:rFonts w:ascii="Times New Roman" w:eastAsia="Times New Roman" w:hAnsi="Times New Roman" w:cs="Times New Roman"/>
          <w:sz w:val="24"/>
          <w:szCs w:val="24"/>
        </w:rPr>
        <w:t xml:space="preserve">:  </w:t>
      </w:r>
      <w:r w:rsidR="005066CB" w:rsidRPr="00773152">
        <w:rPr>
          <w:rFonts w:ascii="Times New Roman" w:eastAsia="Times New Roman" w:hAnsi="Times New Roman" w:cs="Times New Roman"/>
          <w:sz w:val="24"/>
          <w:szCs w:val="24"/>
        </w:rPr>
        <w:t xml:space="preserve">The requirement to conduct negotiated rulemaking </w:t>
      </w:r>
      <w:r w:rsidRPr="00773152">
        <w:rPr>
          <w:rFonts w:ascii="Times New Roman" w:eastAsia="Times New Roman" w:hAnsi="Times New Roman" w:cs="Times New Roman"/>
          <w:sz w:val="24"/>
          <w:szCs w:val="24"/>
        </w:rPr>
        <w:t xml:space="preserve">is </w:t>
      </w:r>
      <w:r w:rsidR="005066CB" w:rsidRPr="00773152">
        <w:rPr>
          <w:rFonts w:ascii="Times New Roman" w:eastAsia="Times New Roman" w:hAnsi="Times New Roman" w:cs="Times New Roman"/>
          <w:sz w:val="24"/>
          <w:szCs w:val="24"/>
        </w:rPr>
        <w:t>limited to rulemakings for</w:t>
      </w:r>
      <w:r w:rsidRPr="00773152">
        <w:rPr>
          <w:rFonts w:ascii="Times New Roman" w:eastAsia="Times New Roman" w:hAnsi="Times New Roman" w:cs="Times New Roman"/>
          <w:sz w:val="24"/>
          <w:szCs w:val="24"/>
        </w:rPr>
        <w:t xml:space="preserve"> Title IV of the HEA</w:t>
      </w:r>
      <w:r w:rsidR="005066CB" w:rsidRPr="00773152">
        <w:rPr>
          <w:rFonts w:ascii="Times New Roman" w:eastAsia="Times New Roman" w:hAnsi="Times New Roman" w:cs="Times New Roman"/>
          <w:sz w:val="24"/>
          <w:szCs w:val="24"/>
        </w:rPr>
        <w:t xml:space="preserve"> and</w:t>
      </w:r>
      <w:r w:rsidR="007C274E">
        <w:rPr>
          <w:rFonts w:ascii="Times New Roman" w:eastAsia="Times New Roman" w:hAnsi="Times New Roman" w:cs="Times New Roman"/>
          <w:sz w:val="24"/>
          <w:szCs w:val="24"/>
        </w:rPr>
        <w:t>, thus,</w:t>
      </w:r>
      <w:r w:rsidR="005066CB" w:rsidRPr="00773152">
        <w:rPr>
          <w:rFonts w:ascii="Times New Roman" w:eastAsia="Times New Roman" w:hAnsi="Times New Roman" w:cs="Times New Roman"/>
          <w:sz w:val="24"/>
          <w:szCs w:val="24"/>
        </w:rPr>
        <w:t xml:space="preserve"> </w:t>
      </w:r>
      <w:r w:rsidRPr="00773152">
        <w:rPr>
          <w:rFonts w:ascii="Times New Roman" w:eastAsia="Times New Roman" w:hAnsi="Times New Roman" w:cs="Times New Roman"/>
          <w:sz w:val="24"/>
          <w:szCs w:val="24"/>
        </w:rPr>
        <w:t xml:space="preserve">does not apply.  </w:t>
      </w:r>
      <w:r w:rsidR="000725DA" w:rsidRPr="00773152">
        <w:rPr>
          <w:rFonts w:ascii="Times New Roman" w:eastAsia="Times New Roman" w:hAnsi="Times New Roman" w:cs="Times New Roman"/>
          <w:sz w:val="24"/>
          <w:szCs w:val="24"/>
        </w:rPr>
        <w:t xml:space="preserve">The Department believes it is appropriate to use the Paperwork Reduction Act process </w:t>
      </w:r>
      <w:r w:rsidR="007C274E">
        <w:rPr>
          <w:rFonts w:ascii="Times New Roman" w:eastAsia="Times New Roman" w:hAnsi="Times New Roman" w:cs="Times New Roman"/>
          <w:sz w:val="24"/>
          <w:szCs w:val="24"/>
        </w:rPr>
        <w:t xml:space="preserve">because we are collecting necessary information to </w:t>
      </w:r>
      <w:r w:rsidR="00BD1AE9">
        <w:rPr>
          <w:rFonts w:ascii="Times New Roman" w:eastAsia="Times New Roman" w:hAnsi="Times New Roman" w:cs="Times New Roman"/>
          <w:sz w:val="24"/>
          <w:szCs w:val="24"/>
        </w:rPr>
        <w:t>i</w:t>
      </w:r>
      <w:r w:rsidR="007C274E">
        <w:rPr>
          <w:rFonts w:ascii="Times New Roman" w:eastAsia="Times New Roman" w:hAnsi="Times New Roman" w:cs="Times New Roman"/>
          <w:sz w:val="24"/>
          <w:szCs w:val="24"/>
        </w:rPr>
        <w:t>mplement a statutory provision—this is the precise action for which the PRA was designed to be employed.  We engaged in significant analysis to ensure we did not include any legislative rules in this package</w:t>
      </w:r>
      <w:r w:rsidR="00075BDF">
        <w:rPr>
          <w:rFonts w:ascii="Times New Roman" w:eastAsia="Times New Roman" w:hAnsi="Times New Roman" w:cs="Times New Roman"/>
          <w:sz w:val="24"/>
          <w:szCs w:val="24"/>
        </w:rPr>
        <w:t>.  Please note</w:t>
      </w:r>
      <w:r w:rsidR="007C274E">
        <w:rPr>
          <w:rFonts w:ascii="Times New Roman" w:eastAsia="Times New Roman" w:hAnsi="Times New Roman" w:cs="Times New Roman"/>
          <w:sz w:val="24"/>
          <w:szCs w:val="24"/>
        </w:rPr>
        <w:t xml:space="preserve">, </w:t>
      </w:r>
      <w:r w:rsidR="00075BDF">
        <w:rPr>
          <w:rFonts w:ascii="Times New Roman" w:eastAsia="Times New Roman" w:hAnsi="Times New Roman" w:cs="Times New Roman"/>
          <w:sz w:val="24"/>
          <w:szCs w:val="24"/>
        </w:rPr>
        <w:t>we</w:t>
      </w:r>
      <w:r w:rsidR="007C274E">
        <w:rPr>
          <w:rFonts w:ascii="Times New Roman" w:eastAsia="Times New Roman" w:hAnsi="Times New Roman" w:cs="Times New Roman"/>
          <w:sz w:val="24"/>
          <w:szCs w:val="24"/>
        </w:rPr>
        <w:t xml:space="preserve"> may engage in notice and comment rulemaking in this space moving forward.</w:t>
      </w:r>
    </w:p>
    <w:p w14:paraId="10F0C4BA" w14:textId="4DA8A2F9" w:rsidR="00F525CD" w:rsidRPr="00773152" w:rsidRDefault="00F525CD" w:rsidP="00BF733E">
      <w:pPr>
        <w:autoSpaceDE w:val="0"/>
        <w:autoSpaceDN w:val="0"/>
        <w:adjustRightInd w:val="0"/>
        <w:spacing w:after="0" w:line="240" w:lineRule="auto"/>
        <w:rPr>
          <w:rFonts w:ascii="Times New Roman" w:eastAsia="Times New Roman" w:hAnsi="Times New Roman" w:cs="Times New Roman"/>
          <w:sz w:val="24"/>
          <w:szCs w:val="24"/>
        </w:rPr>
      </w:pPr>
    </w:p>
    <w:p w14:paraId="59810D23" w14:textId="49F03DA4" w:rsidR="005066CB" w:rsidRPr="00773152" w:rsidRDefault="005066CB" w:rsidP="00BF733E">
      <w:pPr>
        <w:autoSpaceDE w:val="0"/>
        <w:autoSpaceDN w:val="0"/>
        <w:adjustRightInd w:val="0"/>
        <w:spacing w:after="0" w:line="240" w:lineRule="auto"/>
        <w:rPr>
          <w:rFonts w:ascii="Times New Roman" w:eastAsia="Times New Roman" w:hAnsi="Times New Roman" w:cs="Times New Roman"/>
          <w:sz w:val="24"/>
          <w:szCs w:val="24"/>
        </w:rPr>
      </w:pPr>
      <w:r w:rsidRPr="00773152">
        <w:rPr>
          <w:rFonts w:ascii="Times New Roman" w:eastAsia="Times New Roman" w:hAnsi="Times New Roman" w:cs="Times New Roman"/>
          <w:b/>
          <w:sz w:val="24"/>
          <w:szCs w:val="24"/>
        </w:rPr>
        <w:t>Changes</w:t>
      </w:r>
      <w:r w:rsidRPr="00773152">
        <w:rPr>
          <w:rFonts w:ascii="Times New Roman" w:eastAsia="Times New Roman" w:hAnsi="Times New Roman" w:cs="Times New Roman"/>
          <w:sz w:val="24"/>
          <w:szCs w:val="24"/>
        </w:rPr>
        <w:t xml:space="preserve">:  </w:t>
      </w:r>
      <w:r w:rsidR="00075BDF">
        <w:rPr>
          <w:rFonts w:ascii="Times New Roman" w:eastAsia="Times New Roman" w:hAnsi="Times New Roman" w:cs="Times New Roman"/>
          <w:sz w:val="24"/>
          <w:szCs w:val="24"/>
        </w:rPr>
        <w:t>None.</w:t>
      </w:r>
    </w:p>
    <w:p w14:paraId="37E3D3CA" w14:textId="77777777" w:rsidR="005066CB" w:rsidRPr="00773152" w:rsidRDefault="005066CB" w:rsidP="00BF733E">
      <w:pPr>
        <w:autoSpaceDE w:val="0"/>
        <w:autoSpaceDN w:val="0"/>
        <w:adjustRightInd w:val="0"/>
        <w:spacing w:after="0" w:line="240" w:lineRule="auto"/>
        <w:rPr>
          <w:rFonts w:ascii="Times New Roman" w:eastAsia="Times New Roman" w:hAnsi="Times New Roman" w:cs="Times New Roman"/>
          <w:sz w:val="24"/>
          <w:szCs w:val="24"/>
        </w:rPr>
      </w:pPr>
    </w:p>
    <w:p w14:paraId="3EEC5978" w14:textId="286C2241" w:rsidR="00DD4F50" w:rsidRDefault="006F02FB" w:rsidP="006F02FB">
      <w:pPr>
        <w:pStyle w:val="NoSpacing"/>
        <w:spacing w:line="276" w:lineRule="auto"/>
        <w:rPr>
          <w:rFonts w:ascii="Times New Roman" w:hAnsi="Times New Roman" w:cs="Times New Roman"/>
          <w:b/>
          <w:sz w:val="24"/>
          <w:szCs w:val="24"/>
        </w:rPr>
      </w:pPr>
      <w:r>
        <w:rPr>
          <w:rFonts w:ascii="Times New Roman" w:hAnsi="Times New Roman" w:cs="Times New Roman"/>
          <w:b/>
          <w:bCs/>
          <w:sz w:val="24"/>
          <w:szCs w:val="24"/>
        </w:rPr>
        <w:t>Miscellaneous</w:t>
      </w:r>
    </w:p>
    <w:p w14:paraId="576AE696" w14:textId="7EBCFE14" w:rsidR="006F02FB" w:rsidRDefault="006F02FB" w:rsidP="006F02FB">
      <w:pPr>
        <w:pStyle w:val="NoSpacing"/>
        <w:spacing w:line="276" w:lineRule="auto"/>
        <w:rPr>
          <w:rFonts w:ascii="Times New Roman" w:hAnsi="Times New Roman" w:cs="Times New Roman"/>
          <w:sz w:val="24"/>
          <w:szCs w:val="24"/>
        </w:rPr>
      </w:pPr>
    </w:p>
    <w:p w14:paraId="59369AFF" w14:textId="77777777" w:rsidR="000E3D6E" w:rsidRDefault="000E3D6E" w:rsidP="000E3D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Comments</w:t>
      </w:r>
      <w:r>
        <w:rPr>
          <w:rFonts w:ascii="Times New Roman" w:hAnsi="Times New Roman" w:cs="Times New Roman"/>
          <w:sz w:val="24"/>
          <w:szCs w:val="24"/>
        </w:rPr>
        <w:t xml:space="preserve">:  One commenter noted that questions 2.d and 4.e asked for “Recipient” and questions 3.c and 5.c asked for “Domestic Party.”  The commenter wondered whether any party other than the reporting institution identified in question 1 should be identified as the “Recipient” or “Domestic Party.”  </w:t>
      </w:r>
    </w:p>
    <w:p w14:paraId="1EE50600" w14:textId="77777777" w:rsidR="000E3D6E" w:rsidRDefault="000E3D6E" w:rsidP="000E3D6E">
      <w:pPr>
        <w:autoSpaceDE w:val="0"/>
        <w:autoSpaceDN w:val="0"/>
        <w:adjustRightInd w:val="0"/>
        <w:spacing w:after="0" w:line="240" w:lineRule="auto"/>
        <w:rPr>
          <w:rFonts w:ascii="Times New Roman" w:hAnsi="Times New Roman" w:cs="Times New Roman"/>
          <w:sz w:val="24"/>
          <w:szCs w:val="24"/>
        </w:rPr>
      </w:pPr>
    </w:p>
    <w:p w14:paraId="5323EDEA" w14:textId="00548263" w:rsidR="000E3D6E" w:rsidRDefault="000E3D6E" w:rsidP="000E3D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Response</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We expect the recipient of a gift to be the institution </w:t>
      </w:r>
      <w:r w:rsidR="005E1F1D">
        <w:rPr>
          <w:rFonts w:ascii="Times New Roman" w:hAnsi="Times New Roman" w:cs="Times New Roman"/>
          <w:sz w:val="24"/>
          <w:szCs w:val="24"/>
        </w:rPr>
        <w:t xml:space="preserve">as well as any and all intermediaries.  </w:t>
      </w:r>
      <w:r w:rsidR="00A12307">
        <w:rPr>
          <w:rFonts w:ascii="Times New Roman" w:hAnsi="Times New Roman" w:cs="Times New Roman"/>
          <w:sz w:val="24"/>
          <w:szCs w:val="24"/>
        </w:rPr>
        <w:t>We have clarified this in the collection instrument</w:t>
      </w:r>
      <w:r>
        <w:rPr>
          <w:rFonts w:ascii="Times New Roman" w:hAnsi="Times New Roman" w:cs="Times New Roman"/>
          <w:sz w:val="24"/>
          <w:szCs w:val="24"/>
        </w:rPr>
        <w:t xml:space="preserve">.  Because the institution must report any contract between a legal entity and a foreign source when the institution receives the benefit of a contract, the domestic party may be the institution or another legal entity.  </w:t>
      </w:r>
    </w:p>
    <w:p w14:paraId="336C34E9" w14:textId="77777777" w:rsidR="000E3D6E" w:rsidRPr="00773152" w:rsidRDefault="000E3D6E" w:rsidP="006F02FB">
      <w:pPr>
        <w:pStyle w:val="NoSpacing"/>
        <w:spacing w:line="276" w:lineRule="auto"/>
        <w:rPr>
          <w:rFonts w:ascii="Times New Roman" w:hAnsi="Times New Roman" w:cs="Times New Roman"/>
          <w:sz w:val="24"/>
          <w:szCs w:val="24"/>
        </w:rPr>
      </w:pPr>
    </w:p>
    <w:p w14:paraId="57DE3415" w14:textId="650AB45B" w:rsidR="00C45FAF" w:rsidRDefault="008B4B5C">
      <w:pPr>
        <w:rPr>
          <w:rFonts w:ascii="Times New Roman" w:hAnsi="Times New Roman" w:cs="Times New Roman"/>
          <w:sz w:val="24"/>
          <w:szCs w:val="24"/>
        </w:rPr>
      </w:pPr>
      <w:r>
        <w:rPr>
          <w:rFonts w:ascii="Times New Roman" w:hAnsi="Times New Roman" w:cs="Times New Roman"/>
          <w:b/>
          <w:bCs/>
          <w:sz w:val="24"/>
          <w:szCs w:val="24"/>
        </w:rPr>
        <w:t>Comments</w:t>
      </w:r>
      <w:r>
        <w:rPr>
          <w:rFonts w:ascii="Times New Roman" w:hAnsi="Times New Roman" w:cs="Times New Roman"/>
          <w:sz w:val="24"/>
          <w:szCs w:val="24"/>
        </w:rPr>
        <w:t>:  None.</w:t>
      </w:r>
    </w:p>
    <w:p w14:paraId="344EAAC4" w14:textId="6AFB06F6" w:rsidR="008B4B5C" w:rsidRDefault="008B4B5C">
      <w:pPr>
        <w:rPr>
          <w:rFonts w:ascii="Times New Roman" w:hAnsi="Times New Roman" w:cs="Times New Roman"/>
          <w:sz w:val="24"/>
          <w:szCs w:val="24"/>
        </w:rPr>
      </w:pPr>
      <w:r>
        <w:rPr>
          <w:rFonts w:ascii="Times New Roman" w:hAnsi="Times New Roman" w:cs="Times New Roman"/>
          <w:b/>
          <w:bCs/>
          <w:sz w:val="24"/>
          <w:szCs w:val="24"/>
        </w:rPr>
        <w:t>Response</w:t>
      </w:r>
      <w:r>
        <w:rPr>
          <w:rFonts w:ascii="Times New Roman" w:hAnsi="Times New Roman" w:cs="Times New Roman"/>
          <w:sz w:val="24"/>
          <w:szCs w:val="24"/>
        </w:rPr>
        <w:t xml:space="preserve">:  After internal deliberations, we have revised questions 2-5.a.1 to more closely track the language of 20 U.S.C. 1011f(h)(2).  Specifically, we deleted language describing what constitutes a foreign government for the purposes of disclosure.  The revised form now asks whether the gift or contract was with a foreign government, including but not limited to any agency but no longer specifies that a foreign government could also include a foundation, or sovereign wealth fund of a foreign government or a person acting on its behalf.  We note that in some instances a foundation or a sovereign wealth fund of a foreign government, or a person acting on its behalf could still meet one of the prongs of the definition of “foreign source” under 20 U.S.C. 1011f(h)(2), depending on the circumstances.  </w:t>
      </w:r>
    </w:p>
    <w:p w14:paraId="2FCBF06F" w14:textId="7BE095B3" w:rsidR="00C45FAF" w:rsidRPr="00773152" w:rsidRDefault="008B4B5C">
      <w:pPr>
        <w:rPr>
          <w:rFonts w:ascii="Times New Roman" w:hAnsi="Times New Roman" w:cs="Times New Roman"/>
          <w:sz w:val="24"/>
          <w:szCs w:val="24"/>
        </w:rPr>
      </w:pPr>
      <w:r w:rsidRPr="008B4B5C">
        <w:rPr>
          <w:rFonts w:ascii="Times New Roman" w:hAnsi="Times New Roman" w:cs="Times New Roman"/>
          <w:b/>
          <w:bCs/>
          <w:sz w:val="24"/>
          <w:szCs w:val="24"/>
        </w:rPr>
        <w:t>Changes</w:t>
      </w:r>
      <w:r>
        <w:rPr>
          <w:rFonts w:ascii="Times New Roman" w:hAnsi="Times New Roman" w:cs="Times New Roman"/>
          <w:sz w:val="24"/>
          <w:szCs w:val="24"/>
        </w:rPr>
        <w:t>:  We have revised questions 2-5.a.1 to ask whether the gift or contract was with a foreign government, including but not limited to any agency</w:t>
      </w:r>
      <w:r w:rsidR="00075BDF">
        <w:rPr>
          <w:rFonts w:ascii="Times New Roman" w:hAnsi="Times New Roman" w:cs="Times New Roman"/>
          <w:sz w:val="24"/>
          <w:szCs w:val="24"/>
        </w:rPr>
        <w:t>,</w:t>
      </w:r>
      <w:r>
        <w:rPr>
          <w:rFonts w:ascii="Times New Roman" w:hAnsi="Times New Roman" w:cs="Times New Roman"/>
          <w:sz w:val="24"/>
          <w:szCs w:val="24"/>
        </w:rPr>
        <w:t xml:space="preserve"> but these questions no longer specify that a foreign government could also include a foundation, or sovereign wealth fund of a foreign government or a person acting on its behalf.</w:t>
      </w:r>
    </w:p>
    <w:sectPr w:rsidR="00C45FAF" w:rsidRPr="007731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10B7C" w14:textId="77777777" w:rsidR="00600A4C" w:rsidRDefault="00600A4C" w:rsidP="00A653C6">
      <w:pPr>
        <w:spacing w:after="0" w:line="240" w:lineRule="auto"/>
      </w:pPr>
      <w:r>
        <w:separator/>
      </w:r>
    </w:p>
  </w:endnote>
  <w:endnote w:type="continuationSeparator" w:id="0">
    <w:p w14:paraId="13FB5335" w14:textId="77777777" w:rsidR="00600A4C" w:rsidRDefault="00600A4C" w:rsidP="00A6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1D490" w14:textId="77777777" w:rsidR="00600A4C" w:rsidRDefault="00600A4C" w:rsidP="00A653C6">
      <w:pPr>
        <w:spacing w:after="0" w:line="240" w:lineRule="auto"/>
      </w:pPr>
      <w:r>
        <w:separator/>
      </w:r>
    </w:p>
  </w:footnote>
  <w:footnote w:type="continuationSeparator" w:id="0">
    <w:p w14:paraId="538DAA15" w14:textId="77777777" w:rsidR="00600A4C" w:rsidRDefault="00600A4C" w:rsidP="00A653C6">
      <w:pPr>
        <w:spacing w:after="0" w:line="240" w:lineRule="auto"/>
      </w:pPr>
      <w:r>
        <w:continuationSeparator/>
      </w:r>
    </w:p>
  </w:footnote>
  <w:footnote w:id="1">
    <w:p w14:paraId="2A4FAE38" w14:textId="77777777" w:rsidR="00913779" w:rsidRDefault="00A653C6">
      <w:pPr>
        <w:pStyle w:val="FootnoteText"/>
        <w:rPr>
          <w:rFonts w:ascii="Times New Roman" w:hAnsi="Times New Roman"/>
        </w:rPr>
      </w:pPr>
      <w:r w:rsidRPr="00A653C6">
        <w:rPr>
          <w:rStyle w:val="FootnoteReference"/>
          <w:rFonts w:ascii="Times New Roman" w:hAnsi="Times New Roman"/>
        </w:rPr>
        <w:footnoteRef/>
      </w:r>
      <w:r w:rsidRPr="00A653C6">
        <w:rPr>
          <w:rFonts w:ascii="Times New Roman" w:hAnsi="Times New Roman"/>
        </w:rPr>
        <w:t xml:space="preserve"> </w:t>
      </w:r>
      <w:r w:rsidRPr="00A653C6">
        <w:rPr>
          <w:rFonts w:ascii="Times New Roman" w:hAnsi="Times New Roman"/>
          <w:i/>
          <w:iCs/>
        </w:rPr>
        <w:t xml:space="preserve">Utility Air Regulatory Group v. Environmental Protection Agency, </w:t>
      </w:r>
      <w:r w:rsidRPr="00A653C6">
        <w:rPr>
          <w:rFonts w:ascii="Times New Roman" w:hAnsi="Times New Roman"/>
        </w:rPr>
        <w:t>134 S. Ct. 2427, 2441, 2445–46 (2014);</w:t>
      </w:r>
      <w:r w:rsidRPr="00A653C6">
        <w:rPr>
          <w:rFonts w:ascii="Times New Roman" w:hAnsi="Times New Roman"/>
          <w:i/>
          <w:iCs/>
        </w:rPr>
        <w:t xml:space="preserve"> City of Arlington v. FCC, </w:t>
      </w:r>
      <w:r w:rsidRPr="00A653C6">
        <w:rPr>
          <w:rFonts w:ascii="Times New Roman" w:hAnsi="Times New Roman"/>
        </w:rPr>
        <w:t>133 S. Ct. 1863, 1868 (2013);</w:t>
      </w:r>
      <w:r w:rsidRPr="00A653C6">
        <w:rPr>
          <w:rFonts w:ascii="Times New Roman" w:hAnsi="Times New Roman"/>
          <w:i/>
          <w:iCs/>
        </w:rPr>
        <w:t xml:space="preserve"> Chevron U.S.A., Inc. v. Nat. Res. Def. Council, Inc., </w:t>
      </w:r>
      <w:r w:rsidRPr="00A653C6">
        <w:rPr>
          <w:rFonts w:ascii="Times New Roman" w:hAnsi="Times New Roman"/>
        </w:rPr>
        <w:t>467 U.S. 837, 843 (1984).</w:t>
      </w:r>
    </w:p>
    <w:p w14:paraId="37A3BDAF" w14:textId="5A5C8463" w:rsidR="00A653C6" w:rsidRPr="00A653C6" w:rsidRDefault="00A653C6">
      <w:pPr>
        <w:pStyle w:val="FootnoteText"/>
        <w:rPr>
          <w:rFonts w:ascii="Times New Roman" w:hAnsi="Times New Roman"/>
        </w:rPr>
      </w:pPr>
      <w:r w:rsidRPr="00A653C6">
        <w:rPr>
          <w:rFonts w:ascii="Times New Roman" w:hAnsi="Times New Roman"/>
          <w:i/>
          <w:iCs/>
        </w:rPr>
        <w:t xml:space="preserve"> </w:t>
      </w:r>
      <w:r w:rsidRPr="00A653C6">
        <w:rPr>
          <w:rFonts w:ascii="Times New Roman" w:hAnsi="Times New Roman"/>
        </w:rPr>
        <w:t xml:space="preserve"> </w:t>
      </w:r>
    </w:p>
  </w:footnote>
  <w:footnote w:id="2">
    <w:p w14:paraId="1D4136EF" w14:textId="066F0547" w:rsidR="00CB2A03" w:rsidRPr="00CB2A03" w:rsidRDefault="00CB2A03">
      <w:pPr>
        <w:pStyle w:val="FootnoteText"/>
      </w:pPr>
      <w:r w:rsidRPr="00CB2A03">
        <w:rPr>
          <w:rStyle w:val="FootnoteReference"/>
          <w:rFonts w:ascii="Times New Roman" w:hAnsi="Times New Roman"/>
        </w:rPr>
        <w:footnoteRef/>
      </w:r>
      <w:r w:rsidRPr="00CB2A03">
        <w:rPr>
          <w:rFonts w:ascii="Times New Roman" w:hAnsi="Times New Roman"/>
        </w:rPr>
        <w:t xml:space="preserve"> </w:t>
      </w:r>
      <w:bookmarkStart w:id="3" w:name="_Hlk27042635"/>
      <w:r w:rsidRPr="00CB2A03">
        <w:rPr>
          <w:rFonts w:ascii="Times New Roman" w:hAnsi="Times New Roman"/>
          <w:i/>
          <w:iCs/>
        </w:rPr>
        <w:t xml:space="preserve">See National Ass’n of Manufacturers v. Dep’t of Defense, </w:t>
      </w:r>
      <w:r w:rsidRPr="00CB2A03">
        <w:rPr>
          <w:rFonts w:ascii="Times New Roman" w:hAnsi="Times New Roman"/>
        </w:rPr>
        <w:t>138 S. Ct. 617</w:t>
      </w:r>
      <w:r w:rsidR="00480B12">
        <w:rPr>
          <w:rFonts w:ascii="Times New Roman" w:hAnsi="Times New Roman"/>
        </w:rPr>
        <w:t>, 629 - 631</w:t>
      </w:r>
      <w:r w:rsidRPr="00CB2A03">
        <w:rPr>
          <w:rFonts w:ascii="Times New Roman" w:hAnsi="Times New Roman"/>
        </w:rPr>
        <w:t xml:space="preserve"> (2018); </w:t>
      </w:r>
      <w:r w:rsidRPr="00CB2A03">
        <w:rPr>
          <w:rFonts w:ascii="Times New Roman" w:hAnsi="Times New Roman"/>
          <w:i/>
          <w:iCs/>
        </w:rPr>
        <w:t>see also Gundy v. United States</w:t>
      </w:r>
      <w:r w:rsidRPr="00CB2A03">
        <w:rPr>
          <w:rFonts w:ascii="Times New Roman" w:hAnsi="Times New Roman"/>
          <w:i/>
          <w:iCs/>
          <w:u w:val="single"/>
        </w:rPr>
        <w:t xml:space="preserve">, </w:t>
      </w:r>
      <w:r w:rsidRPr="00CB2A03">
        <w:rPr>
          <w:rFonts w:ascii="Times New Roman" w:hAnsi="Times New Roman"/>
          <w:u w:val="single"/>
        </w:rPr>
        <w:t>139 S. Ct. 2116, 2123 (2019).</w:t>
      </w:r>
      <w:bookmarkEnd w:id="3"/>
      <w:r>
        <w:t xml:space="preserve"> </w:t>
      </w:r>
    </w:p>
  </w:footnote>
  <w:footnote w:id="3">
    <w:p w14:paraId="3B661D8C" w14:textId="46B39598" w:rsidR="00480B12" w:rsidRDefault="00480B12">
      <w:pPr>
        <w:pStyle w:val="FootnoteText"/>
        <w:rPr>
          <w:rFonts w:ascii="Times New Roman" w:hAnsi="Times New Roman"/>
        </w:rPr>
      </w:pPr>
      <w:r w:rsidRPr="00480B12">
        <w:rPr>
          <w:rStyle w:val="FootnoteReference"/>
          <w:rFonts w:ascii="Times New Roman" w:hAnsi="Times New Roman"/>
        </w:rPr>
        <w:footnoteRef/>
      </w:r>
      <w:r w:rsidRPr="00480B12">
        <w:rPr>
          <w:rFonts w:ascii="Times New Roman" w:hAnsi="Times New Roman"/>
          <w:i/>
          <w:iCs/>
        </w:rPr>
        <w:t xml:space="preserve">See National Ass’n of Manufacturers, </w:t>
      </w:r>
      <w:r w:rsidRPr="00480B12">
        <w:rPr>
          <w:rFonts w:ascii="Times New Roman" w:hAnsi="Times New Roman"/>
        </w:rPr>
        <w:t xml:space="preserve">138 S. Ct. </w:t>
      </w:r>
      <w:r>
        <w:rPr>
          <w:rFonts w:ascii="Times New Roman" w:hAnsi="Times New Roman"/>
        </w:rPr>
        <w:t>at</w:t>
      </w:r>
      <w:r w:rsidRPr="00480B12">
        <w:rPr>
          <w:rFonts w:ascii="Times New Roman" w:hAnsi="Times New Roman"/>
        </w:rPr>
        <w:t xml:space="preserve"> 629 - 631; </w:t>
      </w:r>
      <w:r w:rsidRPr="00480B12">
        <w:rPr>
          <w:rFonts w:ascii="Times New Roman" w:hAnsi="Times New Roman"/>
          <w:i/>
          <w:iCs/>
        </w:rPr>
        <w:t>see also Gundy</w:t>
      </w:r>
      <w:r w:rsidRPr="00480B12">
        <w:rPr>
          <w:rFonts w:ascii="Times New Roman" w:hAnsi="Times New Roman"/>
          <w:i/>
          <w:iCs/>
          <w:u w:val="single"/>
        </w:rPr>
        <w:t xml:space="preserve">, </w:t>
      </w:r>
      <w:r w:rsidRPr="00480B12">
        <w:rPr>
          <w:rFonts w:ascii="Times New Roman" w:hAnsi="Times New Roman"/>
          <w:u w:val="single"/>
        </w:rPr>
        <w:t xml:space="preserve">139 S. Ct. </w:t>
      </w:r>
      <w:r>
        <w:rPr>
          <w:rFonts w:ascii="Times New Roman" w:hAnsi="Times New Roman"/>
          <w:u w:val="single"/>
        </w:rPr>
        <w:t>at</w:t>
      </w:r>
      <w:r w:rsidRPr="00480B12">
        <w:rPr>
          <w:rFonts w:ascii="Times New Roman" w:hAnsi="Times New Roman"/>
          <w:u w:val="single"/>
        </w:rPr>
        <w:t xml:space="preserve"> 2123.</w:t>
      </w:r>
      <w:r w:rsidRPr="00480B12">
        <w:rPr>
          <w:rFonts w:ascii="Times New Roman" w:hAnsi="Times New Roman"/>
        </w:rPr>
        <w:t xml:space="preserve"> </w:t>
      </w:r>
    </w:p>
    <w:p w14:paraId="727EB265" w14:textId="77777777" w:rsidR="000507B9" w:rsidRPr="00480B12" w:rsidRDefault="000507B9">
      <w:pPr>
        <w:pStyle w:val="FootnoteText"/>
        <w:rPr>
          <w:rFonts w:ascii="Times New Roman" w:hAnsi="Times New Roman"/>
        </w:rPr>
      </w:pPr>
    </w:p>
  </w:footnote>
  <w:footnote w:id="4">
    <w:p w14:paraId="362646CC" w14:textId="77777777" w:rsidR="000507B9" w:rsidRDefault="000507B9" w:rsidP="000507B9">
      <w:pPr>
        <w:pStyle w:val="FootnoteText"/>
        <w:rPr>
          <w:rFonts w:ascii="Times New Roman" w:hAnsi="Times New Roman"/>
        </w:rPr>
      </w:pPr>
      <w:r w:rsidRPr="00A653C6">
        <w:rPr>
          <w:rStyle w:val="FootnoteReference"/>
          <w:rFonts w:ascii="Times New Roman" w:hAnsi="Times New Roman"/>
        </w:rPr>
        <w:footnoteRef/>
      </w:r>
      <w:r w:rsidRPr="00A653C6">
        <w:rPr>
          <w:rFonts w:ascii="Times New Roman" w:hAnsi="Times New Roman"/>
        </w:rPr>
        <w:t xml:space="preserve"> </w:t>
      </w:r>
      <w:r w:rsidRPr="00A653C6">
        <w:rPr>
          <w:rFonts w:ascii="Times New Roman" w:hAnsi="Times New Roman"/>
          <w:i/>
          <w:iCs/>
        </w:rPr>
        <w:t xml:space="preserve">Utility Air Regulatory Group v. Environmental Protection Agency, </w:t>
      </w:r>
      <w:r w:rsidRPr="00A653C6">
        <w:rPr>
          <w:rFonts w:ascii="Times New Roman" w:hAnsi="Times New Roman"/>
        </w:rPr>
        <w:t>134 S. Ct. 2427, 2441, 2445–46 (2014);</w:t>
      </w:r>
      <w:r w:rsidRPr="00A653C6">
        <w:rPr>
          <w:rFonts w:ascii="Times New Roman" w:hAnsi="Times New Roman"/>
          <w:i/>
          <w:iCs/>
        </w:rPr>
        <w:t xml:space="preserve"> City of Arlington v. FCC, </w:t>
      </w:r>
      <w:r w:rsidRPr="00A653C6">
        <w:rPr>
          <w:rFonts w:ascii="Times New Roman" w:hAnsi="Times New Roman"/>
        </w:rPr>
        <w:t>133 S. Ct. 1863, 1868 (2013);</w:t>
      </w:r>
      <w:r w:rsidRPr="00A653C6">
        <w:rPr>
          <w:rFonts w:ascii="Times New Roman" w:hAnsi="Times New Roman"/>
          <w:i/>
          <w:iCs/>
        </w:rPr>
        <w:t xml:space="preserve"> Chevron U.S.A., Inc. v. Nat. Res. Def. Council, Inc., </w:t>
      </w:r>
      <w:r w:rsidRPr="00A653C6">
        <w:rPr>
          <w:rFonts w:ascii="Times New Roman" w:hAnsi="Times New Roman"/>
        </w:rPr>
        <w:t>467 U.S. 837, 843 (1984).</w:t>
      </w:r>
    </w:p>
    <w:p w14:paraId="7576C437" w14:textId="77777777" w:rsidR="000507B9" w:rsidRPr="00A653C6" w:rsidRDefault="000507B9" w:rsidP="000507B9">
      <w:pPr>
        <w:pStyle w:val="FootnoteText"/>
        <w:rPr>
          <w:rFonts w:ascii="Times New Roman" w:hAnsi="Times New Roman"/>
        </w:rPr>
      </w:pPr>
      <w:r w:rsidRPr="00A653C6">
        <w:rPr>
          <w:rFonts w:ascii="Times New Roman" w:hAnsi="Times New Roman"/>
          <w:i/>
          <w:iCs/>
        </w:rPr>
        <w:t xml:space="preserve"> </w:t>
      </w:r>
      <w:r w:rsidRPr="00A653C6">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8C8"/>
    <w:multiLevelType w:val="hybridMultilevel"/>
    <w:tmpl w:val="F6AC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DF5C6F"/>
    <w:multiLevelType w:val="hybridMultilevel"/>
    <w:tmpl w:val="AE129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B7"/>
    <w:rsid w:val="0000667A"/>
    <w:rsid w:val="00006FCB"/>
    <w:rsid w:val="00013ADB"/>
    <w:rsid w:val="000145E9"/>
    <w:rsid w:val="00016C9F"/>
    <w:rsid w:val="0001792F"/>
    <w:rsid w:val="00020047"/>
    <w:rsid w:val="000238FE"/>
    <w:rsid w:val="00033A27"/>
    <w:rsid w:val="00034130"/>
    <w:rsid w:val="000341DD"/>
    <w:rsid w:val="00034C54"/>
    <w:rsid w:val="00035F7D"/>
    <w:rsid w:val="0003744D"/>
    <w:rsid w:val="000473D2"/>
    <w:rsid w:val="000507B9"/>
    <w:rsid w:val="00055CE6"/>
    <w:rsid w:val="00056105"/>
    <w:rsid w:val="00056BB0"/>
    <w:rsid w:val="00061893"/>
    <w:rsid w:val="000622E7"/>
    <w:rsid w:val="0006513F"/>
    <w:rsid w:val="00067624"/>
    <w:rsid w:val="000725DA"/>
    <w:rsid w:val="00074E21"/>
    <w:rsid w:val="00075BDF"/>
    <w:rsid w:val="00075C40"/>
    <w:rsid w:val="00083147"/>
    <w:rsid w:val="00083DF1"/>
    <w:rsid w:val="00085ED9"/>
    <w:rsid w:val="00090A64"/>
    <w:rsid w:val="000930CE"/>
    <w:rsid w:val="0009787A"/>
    <w:rsid w:val="000A20C4"/>
    <w:rsid w:val="000A31C8"/>
    <w:rsid w:val="000A4188"/>
    <w:rsid w:val="000A66ED"/>
    <w:rsid w:val="000A687F"/>
    <w:rsid w:val="000B0376"/>
    <w:rsid w:val="000B03F1"/>
    <w:rsid w:val="000B0922"/>
    <w:rsid w:val="000B25FC"/>
    <w:rsid w:val="000B48CB"/>
    <w:rsid w:val="000B6133"/>
    <w:rsid w:val="000B7A77"/>
    <w:rsid w:val="000C08AB"/>
    <w:rsid w:val="000C0E7F"/>
    <w:rsid w:val="000C102D"/>
    <w:rsid w:val="000C4FDF"/>
    <w:rsid w:val="000C7220"/>
    <w:rsid w:val="000D296A"/>
    <w:rsid w:val="000D2FFC"/>
    <w:rsid w:val="000D6589"/>
    <w:rsid w:val="000E3149"/>
    <w:rsid w:val="000E3244"/>
    <w:rsid w:val="000E3D6E"/>
    <w:rsid w:val="000E4D52"/>
    <w:rsid w:val="000F1186"/>
    <w:rsid w:val="000F1293"/>
    <w:rsid w:val="000F282C"/>
    <w:rsid w:val="000F47F4"/>
    <w:rsid w:val="000F734E"/>
    <w:rsid w:val="000F741A"/>
    <w:rsid w:val="00102C6B"/>
    <w:rsid w:val="00104F2F"/>
    <w:rsid w:val="001069DD"/>
    <w:rsid w:val="00107D62"/>
    <w:rsid w:val="001129B5"/>
    <w:rsid w:val="00112F96"/>
    <w:rsid w:val="001136D5"/>
    <w:rsid w:val="00120F02"/>
    <w:rsid w:val="001221CF"/>
    <w:rsid w:val="00123537"/>
    <w:rsid w:val="001254B1"/>
    <w:rsid w:val="001256E2"/>
    <w:rsid w:val="00125CA0"/>
    <w:rsid w:val="00126806"/>
    <w:rsid w:val="0012764F"/>
    <w:rsid w:val="00132CCB"/>
    <w:rsid w:val="00132EE9"/>
    <w:rsid w:val="001337E0"/>
    <w:rsid w:val="00134156"/>
    <w:rsid w:val="0013799F"/>
    <w:rsid w:val="001413BA"/>
    <w:rsid w:val="001452E6"/>
    <w:rsid w:val="00146235"/>
    <w:rsid w:val="00146FA0"/>
    <w:rsid w:val="00151BC5"/>
    <w:rsid w:val="00153574"/>
    <w:rsid w:val="00153C3E"/>
    <w:rsid w:val="001616C9"/>
    <w:rsid w:val="001616E2"/>
    <w:rsid w:val="0016305D"/>
    <w:rsid w:val="00164855"/>
    <w:rsid w:val="00164A5E"/>
    <w:rsid w:val="00167DE7"/>
    <w:rsid w:val="00171000"/>
    <w:rsid w:val="00172171"/>
    <w:rsid w:val="00173E43"/>
    <w:rsid w:val="001758D6"/>
    <w:rsid w:val="001763AB"/>
    <w:rsid w:val="001827AB"/>
    <w:rsid w:val="00183D98"/>
    <w:rsid w:val="001872A7"/>
    <w:rsid w:val="0018797F"/>
    <w:rsid w:val="0019222C"/>
    <w:rsid w:val="00194310"/>
    <w:rsid w:val="00194551"/>
    <w:rsid w:val="00197515"/>
    <w:rsid w:val="0019795A"/>
    <w:rsid w:val="001A019B"/>
    <w:rsid w:val="001A0689"/>
    <w:rsid w:val="001A0A87"/>
    <w:rsid w:val="001A6CE7"/>
    <w:rsid w:val="001A6D53"/>
    <w:rsid w:val="001B2038"/>
    <w:rsid w:val="001B20E4"/>
    <w:rsid w:val="001B367F"/>
    <w:rsid w:val="001B4E79"/>
    <w:rsid w:val="001B54A1"/>
    <w:rsid w:val="001C0209"/>
    <w:rsid w:val="001C0EC1"/>
    <w:rsid w:val="001C1D8B"/>
    <w:rsid w:val="001C3C94"/>
    <w:rsid w:val="001C4092"/>
    <w:rsid w:val="001C42DB"/>
    <w:rsid w:val="001C4E21"/>
    <w:rsid w:val="001C6ACD"/>
    <w:rsid w:val="001C6E56"/>
    <w:rsid w:val="001C6FED"/>
    <w:rsid w:val="001C74CC"/>
    <w:rsid w:val="001C758E"/>
    <w:rsid w:val="001D1E49"/>
    <w:rsid w:val="001D2FD4"/>
    <w:rsid w:val="001D6C2B"/>
    <w:rsid w:val="001D7D8A"/>
    <w:rsid w:val="001E4BE2"/>
    <w:rsid w:val="001F0FA1"/>
    <w:rsid w:val="001F16C9"/>
    <w:rsid w:val="001F38CC"/>
    <w:rsid w:val="001F5004"/>
    <w:rsid w:val="001F5204"/>
    <w:rsid w:val="002005BF"/>
    <w:rsid w:val="0020077E"/>
    <w:rsid w:val="0020163E"/>
    <w:rsid w:val="002040F6"/>
    <w:rsid w:val="0020750E"/>
    <w:rsid w:val="0021134C"/>
    <w:rsid w:val="0021182B"/>
    <w:rsid w:val="00220989"/>
    <w:rsid w:val="00221E64"/>
    <w:rsid w:val="002223C0"/>
    <w:rsid w:val="002235D7"/>
    <w:rsid w:val="00224900"/>
    <w:rsid w:val="002252F6"/>
    <w:rsid w:val="00232BF4"/>
    <w:rsid w:val="0023549D"/>
    <w:rsid w:val="00237DBA"/>
    <w:rsid w:val="00240C48"/>
    <w:rsid w:val="002419BD"/>
    <w:rsid w:val="00241FCA"/>
    <w:rsid w:val="002454F9"/>
    <w:rsid w:val="00247106"/>
    <w:rsid w:val="00250962"/>
    <w:rsid w:val="00250A06"/>
    <w:rsid w:val="00250C4D"/>
    <w:rsid w:val="00252414"/>
    <w:rsid w:val="00254C6A"/>
    <w:rsid w:val="00255A82"/>
    <w:rsid w:val="00255DF3"/>
    <w:rsid w:val="00263EE2"/>
    <w:rsid w:val="00264BF3"/>
    <w:rsid w:val="0026607A"/>
    <w:rsid w:val="00270CC7"/>
    <w:rsid w:val="002712CD"/>
    <w:rsid w:val="00272317"/>
    <w:rsid w:val="00272FD2"/>
    <w:rsid w:val="00276345"/>
    <w:rsid w:val="00281241"/>
    <w:rsid w:val="00281696"/>
    <w:rsid w:val="00282C1D"/>
    <w:rsid w:val="002840BB"/>
    <w:rsid w:val="0028483E"/>
    <w:rsid w:val="0028572C"/>
    <w:rsid w:val="00285AE7"/>
    <w:rsid w:val="00285D05"/>
    <w:rsid w:val="00291B80"/>
    <w:rsid w:val="00291F5D"/>
    <w:rsid w:val="00294375"/>
    <w:rsid w:val="00294AD1"/>
    <w:rsid w:val="0029640A"/>
    <w:rsid w:val="00296694"/>
    <w:rsid w:val="002A663B"/>
    <w:rsid w:val="002A746E"/>
    <w:rsid w:val="002A7AC7"/>
    <w:rsid w:val="002B107B"/>
    <w:rsid w:val="002B283D"/>
    <w:rsid w:val="002B3CAE"/>
    <w:rsid w:val="002B4396"/>
    <w:rsid w:val="002B5AEA"/>
    <w:rsid w:val="002C03C1"/>
    <w:rsid w:val="002C0A74"/>
    <w:rsid w:val="002C220E"/>
    <w:rsid w:val="002C3184"/>
    <w:rsid w:val="002C40C1"/>
    <w:rsid w:val="002C737D"/>
    <w:rsid w:val="002D2616"/>
    <w:rsid w:val="002D271B"/>
    <w:rsid w:val="002D4BE5"/>
    <w:rsid w:val="002D68AF"/>
    <w:rsid w:val="002E22B3"/>
    <w:rsid w:val="002E31F8"/>
    <w:rsid w:val="002E6D66"/>
    <w:rsid w:val="002F4388"/>
    <w:rsid w:val="002F470C"/>
    <w:rsid w:val="002F47E3"/>
    <w:rsid w:val="002F4C03"/>
    <w:rsid w:val="002F6C61"/>
    <w:rsid w:val="002F7186"/>
    <w:rsid w:val="00302758"/>
    <w:rsid w:val="00302E40"/>
    <w:rsid w:val="0030300D"/>
    <w:rsid w:val="00303AF6"/>
    <w:rsid w:val="00306873"/>
    <w:rsid w:val="003071C7"/>
    <w:rsid w:val="00312D87"/>
    <w:rsid w:val="0031422A"/>
    <w:rsid w:val="003235B1"/>
    <w:rsid w:val="00325188"/>
    <w:rsid w:val="003268D4"/>
    <w:rsid w:val="003316C7"/>
    <w:rsid w:val="00332F51"/>
    <w:rsid w:val="00334D37"/>
    <w:rsid w:val="00350C06"/>
    <w:rsid w:val="0035249D"/>
    <w:rsid w:val="00353241"/>
    <w:rsid w:val="003571A9"/>
    <w:rsid w:val="00357B17"/>
    <w:rsid w:val="003615A3"/>
    <w:rsid w:val="0036291F"/>
    <w:rsid w:val="00362D56"/>
    <w:rsid w:val="003650D5"/>
    <w:rsid w:val="0036538B"/>
    <w:rsid w:val="003656B2"/>
    <w:rsid w:val="0036608C"/>
    <w:rsid w:val="00366E3A"/>
    <w:rsid w:val="003715F8"/>
    <w:rsid w:val="00373558"/>
    <w:rsid w:val="003738E3"/>
    <w:rsid w:val="00374D33"/>
    <w:rsid w:val="00375111"/>
    <w:rsid w:val="003771BB"/>
    <w:rsid w:val="00381A3A"/>
    <w:rsid w:val="00382DD8"/>
    <w:rsid w:val="00384BFB"/>
    <w:rsid w:val="00384ED4"/>
    <w:rsid w:val="00391CF3"/>
    <w:rsid w:val="003928C6"/>
    <w:rsid w:val="003929AF"/>
    <w:rsid w:val="0039440E"/>
    <w:rsid w:val="0039672B"/>
    <w:rsid w:val="003A4DEE"/>
    <w:rsid w:val="003A614C"/>
    <w:rsid w:val="003B712C"/>
    <w:rsid w:val="003C4A27"/>
    <w:rsid w:val="003C6157"/>
    <w:rsid w:val="003D33B1"/>
    <w:rsid w:val="003D5D9C"/>
    <w:rsid w:val="003D7130"/>
    <w:rsid w:val="003D75F3"/>
    <w:rsid w:val="003E11E3"/>
    <w:rsid w:val="003E29FA"/>
    <w:rsid w:val="003E4669"/>
    <w:rsid w:val="003E589C"/>
    <w:rsid w:val="00400FD4"/>
    <w:rsid w:val="004067B7"/>
    <w:rsid w:val="004115C8"/>
    <w:rsid w:val="004130E3"/>
    <w:rsid w:val="00413735"/>
    <w:rsid w:val="00414387"/>
    <w:rsid w:val="00414D53"/>
    <w:rsid w:val="0042569E"/>
    <w:rsid w:val="00425894"/>
    <w:rsid w:val="0043266D"/>
    <w:rsid w:val="00432870"/>
    <w:rsid w:val="00435ED1"/>
    <w:rsid w:val="00435FD6"/>
    <w:rsid w:val="004361F9"/>
    <w:rsid w:val="0043722F"/>
    <w:rsid w:val="0043751A"/>
    <w:rsid w:val="00437589"/>
    <w:rsid w:val="00440583"/>
    <w:rsid w:val="00441AD3"/>
    <w:rsid w:val="00447698"/>
    <w:rsid w:val="0045441A"/>
    <w:rsid w:val="00454D0E"/>
    <w:rsid w:val="00456D7E"/>
    <w:rsid w:val="00460768"/>
    <w:rsid w:val="0046098A"/>
    <w:rsid w:val="0046280C"/>
    <w:rsid w:val="00462B77"/>
    <w:rsid w:val="00463E98"/>
    <w:rsid w:val="00463EE5"/>
    <w:rsid w:val="00471870"/>
    <w:rsid w:val="00472927"/>
    <w:rsid w:val="00472F7B"/>
    <w:rsid w:val="0047578A"/>
    <w:rsid w:val="00476C4D"/>
    <w:rsid w:val="0047736C"/>
    <w:rsid w:val="004776CA"/>
    <w:rsid w:val="00477926"/>
    <w:rsid w:val="00477B16"/>
    <w:rsid w:val="00480B12"/>
    <w:rsid w:val="00480CF2"/>
    <w:rsid w:val="004813CC"/>
    <w:rsid w:val="004829AF"/>
    <w:rsid w:val="00483FD5"/>
    <w:rsid w:val="00485A7E"/>
    <w:rsid w:val="00486503"/>
    <w:rsid w:val="00486A3B"/>
    <w:rsid w:val="00486EB1"/>
    <w:rsid w:val="00490C0E"/>
    <w:rsid w:val="0049111A"/>
    <w:rsid w:val="004913C4"/>
    <w:rsid w:val="00491F29"/>
    <w:rsid w:val="0049396C"/>
    <w:rsid w:val="00493E2E"/>
    <w:rsid w:val="004A27A9"/>
    <w:rsid w:val="004A578A"/>
    <w:rsid w:val="004A7F76"/>
    <w:rsid w:val="004B07CC"/>
    <w:rsid w:val="004B0AD9"/>
    <w:rsid w:val="004B6ECD"/>
    <w:rsid w:val="004B713D"/>
    <w:rsid w:val="004B7917"/>
    <w:rsid w:val="004C1436"/>
    <w:rsid w:val="004C3A8E"/>
    <w:rsid w:val="004C407A"/>
    <w:rsid w:val="004C42A4"/>
    <w:rsid w:val="004C460C"/>
    <w:rsid w:val="004C4AAC"/>
    <w:rsid w:val="004C4FB3"/>
    <w:rsid w:val="004D2DB1"/>
    <w:rsid w:val="004E1AF7"/>
    <w:rsid w:val="004F437C"/>
    <w:rsid w:val="004F4841"/>
    <w:rsid w:val="004F489B"/>
    <w:rsid w:val="00500746"/>
    <w:rsid w:val="0050160F"/>
    <w:rsid w:val="00501A6B"/>
    <w:rsid w:val="005025ED"/>
    <w:rsid w:val="005028CC"/>
    <w:rsid w:val="00502AC3"/>
    <w:rsid w:val="005040EC"/>
    <w:rsid w:val="005066CB"/>
    <w:rsid w:val="00506CA2"/>
    <w:rsid w:val="00507ADF"/>
    <w:rsid w:val="0051224C"/>
    <w:rsid w:val="005138D5"/>
    <w:rsid w:val="00513E18"/>
    <w:rsid w:val="00516788"/>
    <w:rsid w:val="005206F8"/>
    <w:rsid w:val="00523BE4"/>
    <w:rsid w:val="00527296"/>
    <w:rsid w:val="00530982"/>
    <w:rsid w:val="00530EBD"/>
    <w:rsid w:val="00541B82"/>
    <w:rsid w:val="005439E9"/>
    <w:rsid w:val="00546F1F"/>
    <w:rsid w:val="00547A1A"/>
    <w:rsid w:val="00550A93"/>
    <w:rsid w:val="005531DF"/>
    <w:rsid w:val="00553F01"/>
    <w:rsid w:val="00557E5D"/>
    <w:rsid w:val="005614C2"/>
    <w:rsid w:val="00565612"/>
    <w:rsid w:val="00565F71"/>
    <w:rsid w:val="0057549F"/>
    <w:rsid w:val="0057658A"/>
    <w:rsid w:val="00582BAB"/>
    <w:rsid w:val="00582FAD"/>
    <w:rsid w:val="0058458D"/>
    <w:rsid w:val="005875F7"/>
    <w:rsid w:val="00587973"/>
    <w:rsid w:val="00593F2E"/>
    <w:rsid w:val="005943B8"/>
    <w:rsid w:val="005951C5"/>
    <w:rsid w:val="00595E78"/>
    <w:rsid w:val="0059714C"/>
    <w:rsid w:val="005971BB"/>
    <w:rsid w:val="005A0605"/>
    <w:rsid w:val="005A0709"/>
    <w:rsid w:val="005A1020"/>
    <w:rsid w:val="005A2AE8"/>
    <w:rsid w:val="005A2DA2"/>
    <w:rsid w:val="005A3A4E"/>
    <w:rsid w:val="005A403A"/>
    <w:rsid w:val="005A5BAE"/>
    <w:rsid w:val="005A68B1"/>
    <w:rsid w:val="005B3CC6"/>
    <w:rsid w:val="005B642D"/>
    <w:rsid w:val="005C17E5"/>
    <w:rsid w:val="005C35AC"/>
    <w:rsid w:val="005C41BF"/>
    <w:rsid w:val="005D06CC"/>
    <w:rsid w:val="005D1425"/>
    <w:rsid w:val="005D3F8D"/>
    <w:rsid w:val="005D43F1"/>
    <w:rsid w:val="005D51F2"/>
    <w:rsid w:val="005D5835"/>
    <w:rsid w:val="005D6C18"/>
    <w:rsid w:val="005E1F1D"/>
    <w:rsid w:val="005F0B11"/>
    <w:rsid w:val="005F28FC"/>
    <w:rsid w:val="005F4414"/>
    <w:rsid w:val="00600A4C"/>
    <w:rsid w:val="006028D2"/>
    <w:rsid w:val="00606AA6"/>
    <w:rsid w:val="0060740B"/>
    <w:rsid w:val="00613517"/>
    <w:rsid w:val="00621FAD"/>
    <w:rsid w:val="0062380A"/>
    <w:rsid w:val="00632865"/>
    <w:rsid w:val="00632C8B"/>
    <w:rsid w:val="00635E04"/>
    <w:rsid w:val="00636AA1"/>
    <w:rsid w:val="00637F30"/>
    <w:rsid w:val="00642590"/>
    <w:rsid w:val="0064755E"/>
    <w:rsid w:val="00647957"/>
    <w:rsid w:val="0065147A"/>
    <w:rsid w:val="00654793"/>
    <w:rsid w:val="006575C6"/>
    <w:rsid w:val="00660111"/>
    <w:rsid w:val="00666144"/>
    <w:rsid w:val="00666FD0"/>
    <w:rsid w:val="006764DE"/>
    <w:rsid w:val="00676812"/>
    <w:rsid w:val="00686386"/>
    <w:rsid w:val="0069033A"/>
    <w:rsid w:val="00691251"/>
    <w:rsid w:val="00692002"/>
    <w:rsid w:val="006A0AC4"/>
    <w:rsid w:val="006A111F"/>
    <w:rsid w:val="006A6F2F"/>
    <w:rsid w:val="006B2768"/>
    <w:rsid w:val="006B32A0"/>
    <w:rsid w:val="006B40DB"/>
    <w:rsid w:val="006B43C1"/>
    <w:rsid w:val="006B4BC4"/>
    <w:rsid w:val="006B4EE7"/>
    <w:rsid w:val="006C19C1"/>
    <w:rsid w:val="006C411F"/>
    <w:rsid w:val="006C487C"/>
    <w:rsid w:val="006C4FE4"/>
    <w:rsid w:val="006C617B"/>
    <w:rsid w:val="006C67BD"/>
    <w:rsid w:val="006D0B47"/>
    <w:rsid w:val="006D18BA"/>
    <w:rsid w:val="006D20E8"/>
    <w:rsid w:val="006D2724"/>
    <w:rsid w:val="006D3303"/>
    <w:rsid w:val="006D38A6"/>
    <w:rsid w:val="006D483F"/>
    <w:rsid w:val="006D4953"/>
    <w:rsid w:val="006D6966"/>
    <w:rsid w:val="006D7427"/>
    <w:rsid w:val="006D7FC0"/>
    <w:rsid w:val="006E4D21"/>
    <w:rsid w:val="006E4D68"/>
    <w:rsid w:val="006F02FB"/>
    <w:rsid w:val="006F048A"/>
    <w:rsid w:val="006F04CD"/>
    <w:rsid w:val="006F139E"/>
    <w:rsid w:val="006F14CF"/>
    <w:rsid w:val="006F315B"/>
    <w:rsid w:val="006F3797"/>
    <w:rsid w:val="006F3932"/>
    <w:rsid w:val="006F43A4"/>
    <w:rsid w:val="00702DBA"/>
    <w:rsid w:val="00703038"/>
    <w:rsid w:val="0070320A"/>
    <w:rsid w:val="00704F53"/>
    <w:rsid w:val="007077A9"/>
    <w:rsid w:val="00707928"/>
    <w:rsid w:val="00711321"/>
    <w:rsid w:val="007166EB"/>
    <w:rsid w:val="00720B7F"/>
    <w:rsid w:val="00724BEB"/>
    <w:rsid w:val="0072515F"/>
    <w:rsid w:val="00727051"/>
    <w:rsid w:val="007319C8"/>
    <w:rsid w:val="007328A2"/>
    <w:rsid w:val="007344B4"/>
    <w:rsid w:val="00736C46"/>
    <w:rsid w:val="00737F11"/>
    <w:rsid w:val="00740413"/>
    <w:rsid w:val="00745E83"/>
    <w:rsid w:val="00747D32"/>
    <w:rsid w:val="00747EBA"/>
    <w:rsid w:val="00751225"/>
    <w:rsid w:val="00753F48"/>
    <w:rsid w:val="00754695"/>
    <w:rsid w:val="00755496"/>
    <w:rsid w:val="00762F48"/>
    <w:rsid w:val="00767843"/>
    <w:rsid w:val="00767AC2"/>
    <w:rsid w:val="0077311F"/>
    <w:rsid w:val="00773152"/>
    <w:rsid w:val="0077498E"/>
    <w:rsid w:val="00780FE1"/>
    <w:rsid w:val="00783C03"/>
    <w:rsid w:val="00787DB9"/>
    <w:rsid w:val="0079045E"/>
    <w:rsid w:val="00790DE6"/>
    <w:rsid w:val="007A2AE3"/>
    <w:rsid w:val="007A4916"/>
    <w:rsid w:val="007B0ED3"/>
    <w:rsid w:val="007B408D"/>
    <w:rsid w:val="007B4618"/>
    <w:rsid w:val="007B636C"/>
    <w:rsid w:val="007B7EA7"/>
    <w:rsid w:val="007C1194"/>
    <w:rsid w:val="007C274E"/>
    <w:rsid w:val="007C40A0"/>
    <w:rsid w:val="007C5955"/>
    <w:rsid w:val="007D34BA"/>
    <w:rsid w:val="007D3B08"/>
    <w:rsid w:val="007D4995"/>
    <w:rsid w:val="007D599F"/>
    <w:rsid w:val="007D59E9"/>
    <w:rsid w:val="007D78A7"/>
    <w:rsid w:val="007E084D"/>
    <w:rsid w:val="007E140A"/>
    <w:rsid w:val="007E299C"/>
    <w:rsid w:val="007E5288"/>
    <w:rsid w:val="007E57C5"/>
    <w:rsid w:val="007F4401"/>
    <w:rsid w:val="007F4914"/>
    <w:rsid w:val="007F51E0"/>
    <w:rsid w:val="007F6D1F"/>
    <w:rsid w:val="0080020A"/>
    <w:rsid w:val="00800A8F"/>
    <w:rsid w:val="0080143A"/>
    <w:rsid w:val="0080180F"/>
    <w:rsid w:val="00803C05"/>
    <w:rsid w:val="00804353"/>
    <w:rsid w:val="00805E34"/>
    <w:rsid w:val="0081388A"/>
    <w:rsid w:val="00815749"/>
    <w:rsid w:val="0081663D"/>
    <w:rsid w:val="008174DE"/>
    <w:rsid w:val="00823082"/>
    <w:rsid w:val="00825225"/>
    <w:rsid w:val="0082592D"/>
    <w:rsid w:val="00826362"/>
    <w:rsid w:val="008279B6"/>
    <w:rsid w:val="00831DFC"/>
    <w:rsid w:val="00835C07"/>
    <w:rsid w:val="00836DC0"/>
    <w:rsid w:val="00842C6D"/>
    <w:rsid w:val="00843771"/>
    <w:rsid w:val="00846BB2"/>
    <w:rsid w:val="008471E3"/>
    <w:rsid w:val="00856260"/>
    <w:rsid w:val="0086169D"/>
    <w:rsid w:val="00863AB1"/>
    <w:rsid w:val="0086466C"/>
    <w:rsid w:val="0086596C"/>
    <w:rsid w:val="008717DA"/>
    <w:rsid w:val="0087483C"/>
    <w:rsid w:val="00882AE1"/>
    <w:rsid w:val="00882B1F"/>
    <w:rsid w:val="00886F3F"/>
    <w:rsid w:val="00887127"/>
    <w:rsid w:val="00890621"/>
    <w:rsid w:val="00891334"/>
    <w:rsid w:val="00891F9A"/>
    <w:rsid w:val="00892778"/>
    <w:rsid w:val="008969DF"/>
    <w:rsid w:val="008A052B"/>
    <w:rsid w:val="008A11F4"/>
    <w:rsid w:val="008A1369"/>
    <w:rsid w:val="008A3CCF"/>
    <w:rsid w:val="008A423F"/>
    <w:rsid w:val="008A5A90"/>
    <w:rsid w:val="008A7AA2"/>
    <w:rsid w:val="008B0B8D"/>
    <w:rsid w:val="008B1849"/>
    <w:rsid w:val="008B2282"/>
    <w:rsid w:val="008B4B5C"/>
    <w:rsid w:val="008B678D"/>
    <w:rsid w:val="008B6F21"/>
    <w:rsid w:val="008C0849"/>
    <w:rsid w:val="008C08FD"/>
    <w:rsid w:val="008C0CCA"/>
    <w:rsid w:val="008C0ECA"/>
    <w:rsid w:val="008C2873"/>
    <w:rsid w:val="008C40B5"/>
    <w:rsid w:val="008C52B3"/>
    <w:rsid w:val="008C7179"/>
    <w:rsid w:val="008C7E10"/>
    <w:rsid w:val="008D0904"/>
    <w:rsid w:val="008D3BF4"/>
    <w:rsid w:val="008D43B6"/>
    <w:rsid w:val="008D4534"/>
    <w:rsid w:val="008D47D9"/>
    <w:rsid w:val="008D516A"/>
    <w:rsid w:val="008D5D35"/>
    <w:rsid w:val="008E01EC"/>
    <w:rsid w:val="008E0E0B"/>
    <w:rsid w:val="008E4578"/>
    <w:rsid w:val="008F0A5A"/>
    <w:rsid w:val="008F5B0A"/>
    <w:rsid w:val="009008CF"/>
    <w:rsid w:val="00902E25"/>
    <w:rsid w:val="00903E96"/>
    <w:rsid w:val="00910879"/>
    <w:rsid w:val="009124ED"/>
    <w:rsid w:val="00913779"/>
    <w:rsid w:val="00914576"/>
    <w:rsid w:val="009147F4"/>
    <w:rsid w:val="00914C49"/>
    <w:rsid w:val="00917830"/>
    <w:rsid w:val="009202D4"/>
    <w:rsid w:val="00920753"/>
    <w:rsid w:val="00927EA2"/>
    <w:rsid w:val="0093042D"/>
    <w:rsid w:val="00931A6B"/>
    <w:rsid w:val="009351E1"/>
    <w:rsid w:val="0093567B"/>
    <w:rsid w:val="00935896"/>
    <w:rsid w:val="009417EA"/>
    <w:rsid w:val="00942F9A"/>
    <w:rsid w:val="009459CF"/>
    <w:rsid w:val="00945E42"/>
    <w:rsid w:val="009470CD"/>
    <w:rsid w:val="009509CC"/>
    <w:rsid w:val="00954978"/>
    <w:rsid w:val="00957984"/>
    <w:rsid w:val="00961B70"/>
    <w:rsid w:val="00964FD9"/>
    <w:rsid w:val="00965A9D"/>
    <w:rsid w:val="00965EBD"/>
    <w:rsid w:val="0096637B"/>
    <w:rsid w:val="00966583"/>
    <w:rsid w:val="0097301B"/>
    <w:rsid w:val="00974DA8"/>
    <w:rsid w:val="00975F96"/>
    <w:rsid w:val="00981858"/>
    <w:rsid w:val="00981E0D"/>
    <w:rsid w:val="009820ED"/>
    <w:rsid w:val="00982DAD"/>
    <w:rsid w:val="00984A03"/>
    <w:rsid w:val="009858E4"/>
    <w:rsid w:val="00991D0F"/>
    <w:rsid w:val="00995267"/>
    <w:rsid w:val="00996D00"/>
    <w:rsid w:val="009A26EF"/>
    <w:rsid w:val="009A2CE7"/>
    <w:rsid w:val="009A69AC"/>
    <w:rsid w:val="009A7082"/>
    <w:rsid w:val="009A719A"/>
    <w:rsid w:val="009B1B91"/>
    <w:rsid w:val="009B3897"/>
    <w:rsid w:val="009B3B16"/>
    <w:rsid w:val="009B42E4"/>
    <w:rsid w:val="009B63BE"/>
    <w:rsid w:val="009C0608"/>
    <w:rsid w:val="009C1A26"/>
    <w:rsid w:val="009C36A2"/>
    <w:rsid w:val="009C5832"/>
    <w:rsid w:val="009C712A"/>
    <w:rsid w:val="009D00E0"/>
    <w:rsid w:val="009D0FFA"/>
    <w:rsid w:val="009D3260"/>
    <w:rsid w:val="009D664A"/>
    <w:rsid w:val="009E01CC"/>
    <w:rsid w:val="009E393C"/>
    <w:rsid w:val="009E5C67"/>
    <w:rsid w:val="009E5F0A"/>
    <w:rsid w:val="009E5FAB"/>
    <w:rsid w:val="009E657A"/>
    <w:rsid w:val="009E68C6"/>
    <w:rsid w:val="009E741F"/>
    <w:rsid w:val="009F0963"/>
    <w:rsid w:val="009F39B2"/>
    <w:rsid w:val="00A00C28"/>
    <w:rsid w:val="00A01E6B"/>
    <w:rsid w:val="00A024C2"/>
    <w:rsid w:val="00A02E5F"/>
    <w:rsid w:val="00A032C1"/>
    <w:rsid w:val="00A03A04"/>
    <w:rsid w:val="00A069F3"/>
    <w:rsid w:val="00A06CBD"/>
    <w:rsid w:val="00A12307"/>
    <w:rsid w:val="00A12468"/>
    <w:rsid w:val="00A134B2"/>
    <w:rsid w:val="00A1649A"/>
    <w:rsid w:val="00A17B28"/>
    <w:rsid w:val="00A23167"/>
    <w:rsid w:val="00A32A22"/>
    <w:rsid w:val="00A3313A"/>
    <w:rsid w:val="00A3390B"/>
    <w:rsid w:val="00A35730"/>
    <w:rsid w:val="00A4180F"/>
    <w:rsid w:val="00A4344F"/>
    <w:rsid w:val="00A43B65"/>
    <w:rsid w:val="00A45C45"/>
    <w:rsid w:val="00A5074A"/>
    <w:rsid w:val="00A50ADC"/>
    <w:rsid w:val="00A5417D"/>
    <w:rsid w:val="00A5464A"/>
    <w:rsid w:val="00A558CB"/>
    <w:rsid w:val="00A55DBF"/>
    <w:rsid w:val="00A56B05"/>
    <w:rsid w:val="00A57391"/>
    <w:rsid w:val="00A57432"/>
    <w:rsid w:val="00A60791"/>
    <w:rsid w:val="00A62181"/>
    <w:rsid w:val="00A63660"/>
    <w:rsid w:val="00A653C6"/>
    <w:rsid w:val="00A67E13"/>
    <w:rsid w:val="00A70300"/>
    <w:rsid w:val="00A705F2"/>
    <w:rsid w:val="00A70A96"/>
    <w:rsid w:val="00A71C2D"/>
    <w:rsid w:val="00A7321D"/>
    <w:rsid w:val="00A757D5"/>
    <w:rsid w:val="00A77016"/>
    <w:rsid w:val="00A77BC8"/>
    <w:rsid w:val="00A77ED1"/>
    <w:rsid w:val="00A80095"/>
    <w:rsid w:val="00A8224F"/>
    <w:rsid w:val="00A8281E"/>
    <w:rsid w:val="00A8722E"/>
    <w:rsid w:val="00A87C20"/>
    <w:rsid w:val="00AA1245"/>
    <w:rsid w:val="00AA1A55"/>
    <w:rsid w:val="00AA6473"/>
    <w:rsid w:val="00AA649F"/>
    <w:rsid w:val="00AA6D72"/>
    <w:rsid w:val="00AB1CEE"/>
    <w:rsid w:val="00AB7E94"/>
    <w:rsid w:val="00AC1E2A"/>
    <w:rsid w:val="00AC31B2"/>
    <w:rsid w:val="00AC6205"/>
    <w:rsid w:val="00AD20E7"/>
    <w:rsid w:val="00AD6739"/>
    <w:rsid w:val="00AD6BCD"/>
    <w:rsid w:val="00AD7DDE"/>
    <w:rsid w:val="00AE0015"/>
    <w:rsid w:val="00AE0397"/>
    <w:rsid w:val="00AE358A"/>
    <w:rsid w:val="00AE42FF"/>
    <w:rsid w:val="00AE451C"/>
    <w:rsid w:val="00AF0AF4"/>
    <w:rsid w:val="00AF1B5B"/>
    <w:rsid w:val="00AF293A"/>
    <w:rsid w:val="00AF512B"/>
    <w:rsid w:val="00B0390A"/>
    <w:rsid w:val="00B13E7A"/>
    <w:rsid w:val="00B167B0"/>
    <w:rsid w:val="00B224BA"/>
    <w:rsid w:val="00B23B34"/>
    <w:rsid w:val="00B23E89"/>
    <w:rsid w:val="00B2418E"/>
    <w:rsid w:val="00B24C3F"/>
    <w:rsid w:val="00B27C3C"/>
    <w:rsid w:val="00B30DA0"/>
    <w:rsid w:val="00B32CCB"/>
    <w:rsid w:val="00B402A7"/>
    <w:rsid w:val="00B4370C"/>
    <w:rsid w:val="00B44146"/>
    <w:rsid w:val="00B446D2"/>
    <w:rsid w:val="00B44CD8"/>
    <w:rsid w:val="00B4690F"/>
    <w:rsid w:val="00B46AFE"/>
    <w:rsid w:val="00B47761"/>
    <w:rsid w:val="00B47978"/>
    <w:rsid w:val="00B5161A"/>
    <w:rsid w:val="00B52652"/>
    <w:rsid w:val="00B53B7B"/>
    <w:rsid w:val="00B5721C"/>
    <w:rsid w:val="00B608B7"/>
    <w:rsid w:val="00B60E26"/>
    <w:rsid w:val="00B651E7"/>
    <w:rsid w:val="00B658E2"/>
    <w:rsid w:val="00B6625D"/>
    <w:rsid w:val="00B667DC"/>
    <w:rsid w:val="00B7136A"/>
    <w:rsid w:val="00B714BC"/>
    <w:rsid w:val="00B72D2A"/>
    <w:rsid w:val="00B74968"/>
    <w:rsid w:val="00B7659B"/>
    <w:rsid w:val="00B76E3E"/>
    <w:rsid w:val="00B77939"/>
    <w:rsid w:val="00B81AC3"/>
    <w:rsid w:val="00B91CDE"/>
    <w:rsid w:val="00B9417D"/>
    <w:rsid w:val="00B94A7F"/>
    <w:rsid w:val="00B97C49"/>
    <w:rsid w:val="00BA1C46"/>
    <w:rsid w:val="00BA363B"/>
    <w:rsid w:val="00BB006A"/>
    <w:rsid w:val="00BB3C1D"/>
    <w:rsid w:val="00BB5007"/>
    <w:rsid w:val="00BB72B2"/>
    <w:rsid w:val="00BC0379"/>
    <w:rsid w:val="00BC0E5F"/>
    <w:rsid w:val="00BC3DC2"/>
    <w:rsid w:val="00BD09FA"/>
    <w:rsid w:val="00BD1049"/>
    <w:rsid w:val="00BD1AE9"/>
    <w:rsid w:val="00BD3A94"/>
    <w:rsid w:val="00BD412C"/>
    <w:rsid w:val="00BD52A0"/>
    <w:rsid w:val="00BD692E"/>
    <w:rsid w:val="00BD7F81"/>
    <w:rsid w:val="00BE01B2"/>
    <w:rsid w:val="00BE6C8D"/>
    <w:rsid w:val="00BF00F6"/>
    <w:rsid w:val="00BF2283"/>
    <w:rsid w:val="00BF2600"/>
    <w:rsid w:val="00BF2F31"/>
    <w:rsid w:val="00BF3503"/>
    <w:rsid w:val="00BF733E"/>
    <w:rsid w:val="00BF7556"/>
    <w:rsid w:val="00C00062"/>
    <w:rsid w:val="00C0014B"/>
    <w:rsid w:val="00C03323"/>
    <w:rsid w:val="00C04517"/>
    <w:rsid w:val="00C101C3"/>
    <w:rsid w:val="00C10370"/>
    <w:rsid w:val="00C10EFE"/>
    <w:rsid w:val="00C11180"/>
    <w:rsid w:val="00C13851"/>
    <w:rsid w:val="00C176F5"/>
    <w:rsid w:val="00C22113"/>
    <w:rsid w:val="00C24C0C"/>
    <w:rsid w:val="00C269BE"/>
    <w:rsid w:val="00C31234"/>
    <w:rsid w:val="00C31D79"/>
    <w:rsid w:val="00C3218D"/>
    <w:rsid w:val="00C33358"/>
    <w:rsid w:val="00C333EB"/>
    <w:rsid w:val="00C336D0"/>
    <w:rsid w:val="00C34699"/>
    <w:rsid w:val="00C34E1E"/>
    <w:rsid w:val="00C35642"/>
    <w:rsid w:val="00C36D14"/>
    <w:rsid w:val="00C45FAF"/>
    <w:rsid w:val="00C47ADF"/>
    <w:rsid w:val="00C47E0B"/>
    <w:rsid w:val="00C522F6"/>
    <w:rsid w:val="00C52CEF"/>
    <w:rsid w:val="00C53458"/>
    <w:rsid w:val="00C5435C"/>
    <w:rsid w:val="00C54892"/>
    <w:rsid w:val="00C6011F"/>
    <w:rsid w:val="00C66D4A"/>
    <w:rsid w:val="00C73C3B"/>
    <w:rsid w:val="00C76E73"/>
    <w:rsid w:val="00C77E81"/>
    <w:rsid w:val="00C816ED"/>
    <w:rsid w:val="00C81A21"/>
    <w:rsid w:val="00C81D93"/>
    <w:rsid w:val="00C83194"/>
    <w:rsid w:val="00C91594"/>
    <w:rsid w:val="00C92DE5"/>
    <w:rsid w:val="00C959B3"/>
    <w:rsid w:val="00CA1F8C"/>
    <w:rsid w:val="00CA3A2D"/>
    <w:rsid w:val="00CA6791"/>
    <w:rsid w:val="00CA69B8"/>
    <w:rsid w:val="00CA6DF8"/>
    <w:rsid w:val="00CB2A03"/>
    <w:rsid w:val="00CB4E32"/>
    <w:rsid w:val="00CB5E2F"/>
    <w:rsid w:val="00CB676F"/>
    <w:rsid w:val="00CC03F1"/>
    <w:rsid w:val="00CC10A3"/>
    <w:rsid w:val="00CC3B2E"/>
    <w:rsid w:val="00CC4F26"/>
    <w:rsid w:val="00CC72E0"/>
    <w:rsid w:val="00CD55A9"/>
    <w:rsid w:val="00CD6409"/>
    <w:rsid w:val="00CD7EEE"/>
    <w:rsid w:val="00CE1B6C"/>
    <w:rsid w:val="00CE4EC1"/>
    <w:rsid w:val="00CE78E7"/>
    <w:rsid w:val="00CF7E83"/>
    <w:rsid w:val="00D044FF"/>
    <w:rsid w:val="00D06F97"/>
    <w:rsid w:val="00D13361"/>
    <w:rsid w:val="00D14495"/>
    <w:rsid w:val="00D173F0"/>
    <w:rsid w:val="00D17C03"/>
    <w:rsid w:val="00D17EF7"/>
    <w:rsid w:val="00D24B42"/>
    <w:rsid w:val="00D24E5D"/>
    <w:rsid w:val="00D30F11"/>
    <w:rsid w:val="00D31ED8"/>
    <w:rsid w:val="00D3347A"/>
    <w:rsid w:val="00D34D71"/>
    <w:rsid w:val="00D35245"/>
    <w:rsid w:val="00D35E07"/>
    <w:rsid w:val="00D41CC4"/>
    <w:rsid w:val="00D42310"/>
    <w:rsid w:val="00D43E56"/>
    <w:rsid w:val="00D46900"/>
    <w:rsid w:val="00D548D5"/>
    <w:rsid w:val="00D556E5"/>
    <w:rsid w:val="00D56C90"/>
    <w:rsid w:val="00D56DF8"/>
    <w:rsid w:val="00D62D7E"/>
    <w:rsid w:val="00D63DE8"/>
    <w:rsid w:val="00D64B15"/>
    <w:rsid w:val="00D72138"/>
    <w:rsid w:val="00D73000"/>
    <w:rsid w:val="00D7501B"/>
    <w:rsid w:val="00D75B33"/>
    <w:rsid w:val="00D77B92"/>
    <w:rsid w:val="00D90712"/>
    <w:rsid w:val="00D914F0"/>
    <w:rsid w:val="00D930E6"/>
    <w:rsid w:val="00D93D26"/>
    <w:rsid w:val="00D96577"/>
    <w:rsid w:val="00D96C1C"/>
    <w:rsid w:val="00DA4903"/>
    <w:rsid w:val="00DA6F6B"/>
    <w:rsid w:val="00DB12F5"/>
    <w:rsid w:val="00DB21E8"/>
    <w:rsid w:val="00DC2F44"/>
    <w:rsid w:val="00DC2F6B"/>
    <w:rsid w:val="00DC48BF"/>
    <w:rsid w:val="00DC5162"/>
    <w:rsid w:val="00DD0037"/>
    <w:rsid w:val="00DD14DD"/>
    <w:rsid w:val="00DD256D"/>
    <w:rsid w:val="00DD3AD7"/>
    <w:rsid w:val="00DD42CC"/>
    <w:rsid w:val="00DD4F50"/>
    <w:rsid w:val="00DD698B"/>
    <w:rsid w:val="00DF0A57"/>
    <w:rsid w:val="00DF1565"/>
    <w:rsid w:val="00DF1D14"/>
    <w:rsid w:val="00DF253F"/>
    <w:rsid w:val="00DF4F9A"/>
    <w:rsid w:val="00DF5785"/>
    <w:rsid w:val="00E0068A"/>
    <w:rsid w:val="00E019BA"/>
    <w:rsid w:val="00E033D1"/>
    <w:rsid w:val="00E05694"/>
    <w:rsid w:val="00E10393"/>
    <w:rsid w:val="00E128CF"/>
    <w:rsid w:val="00E12F08"/>
    <w:rsid w:val="00E14712"/>
    <w:rsid w:val="00E179BC"/>
    <w:rsid w:val="00E235FF"/>
    <w:rsid w:val="00E2423E"/>
    <w:rsid w:val="00E25D9A"/>
    <w:rsid w:val="00E27A6C"/>
    <w:rsid w:val="00E4042F"/>
    <w:rsid w:val="00E4512A"/>
    <w:rsid w:val="00E506FE"/>
    <w:rsid w:val="00E5082C"/>
    <w:rsid w:val="00E512F7"/>
    <w:rsid w:val="00E52B27"/>
    <w:rsid w:val="00E53E07"/>
    <w:rsid w:val="00E54EFE"/>
    <w:rsid w:val="00E5598B"/>
    <w:rsid w:val="00E579AA"/>
    <w:rsid w:val="00E6073D"/>
    <w:rsid w:val="00E61AA2"/>
    <w:rsid w:val="00E70B69"/>
    <w:rsid w:val="00E7167B"/>
    <w:rsid w:val="00E71E20"/>
    <w:rsid w:val="00E7454A"/>
    <w:rsid w:val="00E750EC"/>
    <w:rsid w:val="00E7757A"/>
    <w:rsid w:val="00E7759D"/>
    <w:rsid w:val="00E8018B"/>
    <w:rsid w:val="00E807F1"/>
    <w:rsid w:val="00E81091"/>
    <w:rsid w:val="00E82417"/>
    <w:rsid w:val="00E82A44"/>
    <w:rsid w:val="00E8377B"/>
    <w:rsid w:val="00E84E6B"/>
    <w:rsid w:val="00E8599D"/>
    <w:rsid w:val="00E93162"/>
    <w:rsid w:val="00E931E2"/>
    <w:rsid w:val="00E9450A"/>
    <w:rsid w:val="00E95F9C"/>
    <w:rsid w:val="00E97D0E"/>
    <w:rsid w:val="00EA064B"/>
    <w:rsid w:val="00EB3098"/>
    <w:rsid w:val="00EC1676"/>
    <w:rsid w:val="00EC37D3"/>
    <w:rsid w:val="00EC394C"/>
    <w:rsid w:val="00EC7C78"/>
    <w:rsid w:val="00EC7C7E"/>
    <w:rsid w:val="00ED1FF4"/>
    <w:rsid w:val="00EE0F2D"/>
    <w:rsid w:val="00EE25EE"/>
    <w:rsid w:val="00EE2743"/>
    <w:rsid w:val="00EF469F"/>
    <w:rsid w:val="00EF4EF9"/>
    <w:rsid w:val="00F03D24"/>
    <w:rsid w:val="00F049D5"/>
    <w:rsid w:val="00F071A8"/>
    <w:rsid w:val="00F0777E"/>
    <w:rsid w:val="00F12683"/>
    <w:rsid w:val="00F12859"/>
    <w:rsid w:val="00F175C0"/>
    <w:rsid w:val="00F20923"/>
    <w:rsid w:val="00F22453"/>
    <w:rsid w:val="00F225CE"/>
    <w:rsid w:val="00F231EB"/>
    <w:rsid w:val="00F23F8A"/>
    <w:rsid w:val="00F24FDA"/>
    <w:rsid w:val="00F310A2"/>
    <w:rsid w:val="00F334D3"/>
    <w:rsid w:val="00F33CF2"/>
    <w:rsid w:val="00F356F7"/>
    <w:rsid w:val="00F36844"/>
    <w:rsid w:val="00F44675"/>
    <w:rsid w:val="00F44B2F"/>
    <w:rsid w:val="00F50695"/>
    <w:rsid w:val="00F51283"/>
    <w:rsid w:val="00F525CD"/>
    <w:rsid w:val="00F55E4A"/>
    <w:rsid w:val="00F56926"/>
    <w:rsid w:val="00F60BDB"/>
    <w:rsid w:val="00F62A72"/>
    <w:rsid w:val="00F65F87"/>
    <w:rsid w:val="00F66AE7"/>
    <w:rsid w:val="00F679B5"/>
    <w:rsid w:val="00F7017A"/>
    <w:rsid w:val="00F70A4F"/>
    <w:rsid w:val="00F73CB6"/>
    <w:rsid w:val="00F746B8"/>
    <w:rsid w:val="00F77571"/>
    <w:rsid w:val="00F8114D"/>
    <w:rsid w:val="00F90305"/>
    <w:rsid w:val="00F9272A"/>
    <w:rsid w:val="00F934B7"/>
    <w:rsid w:val="00F93B06"/>
    <w:rsid w:val="00F945F2"/>
    <w:rsid w:val="00F96041"/>
    <w:rsid w:val="00FA14D5"/>
    <w:rsid w:val="00FA3465"/>
    <w:rsid w:val="00FB021E"/>
    <w:rsid w:val="00FB1772"/>
    <w:rsid w:val="00FB3DBF"/>
    <w:rsid w:val="00FB55FA"/>
    <w:rsid w:val="00FB5D39"/>
    <w:rsid w:val="00FB7774"/>
    <w:rsid w:val="00FB7BEC"/>
    <w:rsid w:val="00FC040D"/>
    <w:rsid w:val="00FC33BB"/>
    <w:rsid w:val="00FC4368"/>
    <w:rsid w:val="00FC453A"/>
    <w:rsid w:val="00FD1658"/>
    <w:rsid w:val="00FD4E7D"/>
    <w:rsid w:val="00FD54FC"/>
    <w:rsid w:val="00FE071E"/>
    <w:rsid w:val="00FE5861"/>
    <w:rsid w:val="00FE6754"/>
    <w:rsid w:val="00FE7821"/>
    <w:rsid w:val="00FF1A85"/>
    <w:rsid w:val="00FF2026"/>
    <w:rsid w:val="00FF25F2"/>
    <w:rsid w:val="00FF6E76"/>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E0"/>
  </w:style>
  <w:style w:type="paragraph" w:styleId="Heading3">
    <w:name w:val="heading 3"/>
    <w:basedOn w:val="Normal"/>
    <w:next w:val="Normal"/>
    <w:link w:val="Heading3Char"/>
    <w:uiPriority w:val="9"/>
    <w:semiHidden/>
    <w:unhideWhenUsed/>
    <w:qFormat/>
    <w:rsid w:val="00CB2A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653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B7"/>
    <w:rPr>
      <w:rFonts w:ascii="Segoe UI" w:hAnsi="Segoe UI" w:cs="Segoe UI"/>
      <w:sz w:val="18"/>
      <w:szCs w:val="18"/>
    </w:rPr>
  </w:style>
  <w:style w:type="character" w:styleId="CommentReference">
    <w:name w:val="annotation reference"/>
    <w:basedOn w:val="DefaultParagraphFont"/>
    <w:uiPriority w:val="99"/>
    <w:semiHidden/>
    <w:unhideWhenUsed/>
    <w:rsid w:val="001337E0"/>
    <w:rPr>
      <w:sz w:val="16"/>
      <w:szCs w:val="16"/>
    </w:rPr>
  </w:style>
  <w:style w:type="paragraph" w:styleId="CommentText">
    <w:name w:val="annotation text"/>
    <w:basedOn w:val="Normal"/>
    <w:link w:val="CommentTextChar"/>
    <w:uiPriority w:val="99"/>
    <w:unhideWhenUsed/>
    <w:rsid w:val="001337E0"/>
    <w:pPr>
      <w:spacing w:line="240" w:lineRule="auto"/>
    </w:pPr>
    <w:rPr>
      <w:sz w:val="20"/>
      <w:szCs w:val="20"/>
    </w:rPr>
  </w:style>
  <w:style w:type="character" w:customStyle="1" w:styleId="CommentTextChar">
    <w:name w:val="Comment Text Char"/>
    <w:basedOn w:val="DefaultParagraphFont"/>
    <w:link w:val="CommentText"/>
    <w:uiPriority w:val="99"/>
    <w:rsid w:val="001337E0"/>
    <w:rPr>
      <w:sz w:val="20"/>
      <w:szCs w:val="20"/>
    </w:rPr>
  </w:style>
  <w:style w:type="paragraph" w:styleId="ListParagraph">
    <w:name w:val="List Paragraph"/>
    <w:basedOn w:val="Normal"/>
    <w:uiPriority w:val="34"/>
    <w:qFormat/>
    <w:rsid w:val="00F12683"/>
    <w:pPr>
      <w:spacing w:after="0" w:line="240" w:lineRule="auto"/>
      <w:ind w:left="720"/>
    </w:pPr>
    <w:rPr>
      <w:rFonts w:ascii="Calibri" w:hAnsi="Calibri" w:cs="Calibri"/>
    </w:rPr>
  </w:style>
  <w:style w:type="paragraph" w:styleId="NoSpacing">
    <w:name w:val="No Spacing"/>
    <w:uiPriority w:val="1"/>
    <w:qFormat/>
    <w:rsid w:val="00FA3465"/>
    <w:pPr>
      <w:spacing w:after="0" w:line="240" w:lineRule="auto"/>
    </w:pPr>
  </w:style>
  <w:style w:type="paragraph" w:customStyle="1" w:styleId="Default">
    <w:name w:val="Default"/>
    <w:rsid w:val="00FA3465"/>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E12F08"/>
    <w:rPr>
      <w:b/>
      <w:bCs/>
    </w:rPr>
  </w:style>
  <w:style w:type="character" w:customStyle="1" w:styleId="CommentSubjectChar">
    <w:name w:val="Comment Subject Char"/>
    <w:basedOn w:val="CommentTextChar"/>
    <w:link w:val="CommentSubject"/>
    <w:uiPriority w:val="99"/>
    <w:semiHidden/>
    <w:rsid w:val="00E12F08"/>
    <w:rPr>
      <w:b/>
      <w:bCs/>
      <w:sz w:val="20"/>
      <w:szCs w:val="20"/>
    </w:rPr>
  </w:style>
  <w:style w:type="character" w:styleId="Hyperlink">
    <w:name w:val="Hyperlink"/>
    <w:basedOn w:val="DefaultParagraphFont"/>
    <w:uiPriority w:val="99"/>
    <w:unhideWhenUsed/>
    <w:rsid w:val="00F93B06"/>
    <w:rPr>
      <w:color w:val="0563C1" w:themeColor="hyperlink"/>
      <w:u w:val="single"/>
    </w:rPr>
  </w:style>
  <w:style w:type="character" w:customStyle="1" w:styleId="UnresolvedMention">
    <w:name w:val="Unresolved Mention"/>
    <w:basedOn w:val="DefaultParagraphFont"/>
    <w:uiPriority w:val="99"/>
    <w:semiHidden/>
    <w:unhideWhenUsed/>
    <w:rsid w:val="002C0A74"/>
    <w:rPr>
      <w:color w:val="605E5C"/>
      <w:shd w:val="clear" w:color="auto" w:fill="E1DFDD"/>
    </w:rPr>
  </w:style>
  <w:style w:type="paragraph" w:styleId="Revision">
    <w:name w:val="Revision"/>
    <w:hidden/>
    <w:uiPriority w:val="99"/>
    <w:semiHidden/>
    <w:rsid w:val="002C0A74"/>
    <w:pPr>
      <w:spacing w:after="0" w:line="240" w:lineRule="auto"/>
    </w:pPr>
  </w:style>
  <w:style w:type="paragraph" w:styleId="FootnoteText">
    <w:name w:val="footnote text"/>
    <w:basedOn w:val="Normal"/>
    <w:link w:val="FootnoteTextChar"/>
    <w:uiPriority w:val="99"/>
    <w:semiHidden/>
    <w:rsid w:val="000B25FC"/>
    <w:pPr>
      <w:tabs>
        <w:tab w:val="left" w:pos="-720"/>
      </w:tabs>
      <w:suppressAutoHyphens/>
      <w:spacing w:after="0" w:line="240" w:lineRule="auto"/>
    </w:pPr>
    <w:rPr>
      <w:rFonts w:ascii="Courier" w:eastAsia="Times New Roman" w:hAnsi="Courier" w:cs="Times New Roman"/>
      <w:sz w:val="24"/>
      <w:szCs w:val="20"/>
    </w:rPr>
  </w:style>
  <w:style w:type="character" w:customStyle="1" w:styleId="FootnoteTextChar">
    <w:name w:val="Footnote Text Char"/>
    <w:basedOn w:val="DefaultParagraphFont"/>
    <w:link w:val="FootnoteText"/>
    <w:uiPriority w:val="99"/>
    <w:semiHidden/>
    <w:rsid w:val="000B25FC"/>
    <w:rPr>
      <w:rFonts w:ascii="Courier" w:eastAsia="Times New Roman" w:hAnsi="Courier" w:cs="Times New Roman"/>
      <w:sz w:val="24"/>
      <w:szCs w:val="20"/>
    </w:rPr>
  </w:style>
  <w:style w:type="character" w:styleId="FootnoteReference">
    <w:name w:val="footnote reference"/>
    <w:basedOn w:val="DefaultParagraphFont"/>
    <w:uiPriority w:val="99"/>
    <w:semiHidden/>
    <w:unhideWhenUsed/>
    <w:rsid w:val="00A653C6"/>
    <w:rPr>
      <w:vertAlign w:val="superscript"/>
    </w:rPr>
  </w:style>
  <w:style w:type="character" w:customStyle="1" w:styleId="Heading4Char">
    <w:name w:val="Heading 4 Char"/>
    <w:basedOn w:val="DefaultParagraphFont"/>
    <w:link w:val="Heading4"/>
    <w:uiPriority w:val="9"/>
    <w:semiHidden/>
    <w:rsid w:val="00A653C6"/>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CB2A03"/>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E0"/>
  </w:style>
  <w:style w:type="paragraph" w:styleId="Heading3">
    <w:name w:val="heading 3"/>
    <w:basedOn w:val="Normal"/>
    <w:next w:val="Normal"/>
    <w:link w:val="Heading3Char"/>
    <w:uiPriority w:val="9"/>
    <w:semiHidden/>
    <w:unhideWhenUsed/>
    <w:qFormat/>
    <w:rsid w:val="00CB2A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653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B7"/>
    <w:rPr>
      <w:rFonts w:ascii="Segoe UI" w:hAnsi="Segoe UI" w:cs="Segoe UI"/>
      <w:sz w:val="18"/>
      <w:szCs w:val="18"/>
    </w:rPr>
  </w:style>
  <w:style w:type="character" w:styleId="CommentReference">
    <w:name w:val="annotation reference"/>
    <w:basedOn w:val="DefaultParagraphFont"/>
    <w:uiPriority w:val="99"/>
    <w:semiHidden/>
    <w:unhideWhenUsed/>
    <w:rsid w:val="001337E0"/>
    <w:rPr>
      <w:sz w:val="16"/>
      <w:szCs w:val="16"/>
    </w:rPr>
  </w:style>
  <w:style w:type="paragraph" w:styleId="CommentText">
    <w:name w:val="annotation text"/>
    <w:basedOn w:val="Normal"/>
    <w:link w:val="CommentTextChar"/>
    <w:uiPriority w:val="99"/>
    <w:unhideWhenUsed/>
    <w:rsid w:val="001337E0"/>
    <w:pPr>
      <w:spacing w:line="240" w:lineRule="auto"/>
    </w:pPr>
    <w:rPr>
      <w:sz w:val="20"/>
      <w:szCs w:val="20"/>
    </w:rPr>
  </w:style>
  <w:style w:type="character" w:customStyle="1" w:styleId="CommentTextChar">
    <w:name w:val="Comment Text Char"/>
    <w:basedOn w:val="DefaultParagraphFont"/>
    <w:link w:val="CommentText"/>
    <w:uiPriority w:val="99"/>
    <w:rsid w:val="001337E0"/>
    <w:rPr>
      <w:sz w:val="20"/>
      <w:szCs w:val="20"/>
    </w:rPr>
  </w:style>
  <w:style w:type="paragraph" w:styleId="ListParagraph">
    <w:name w:val="List Paragraph"/>
    <w:basedOn w:val="Normal"/>
    <w:uiPriority w:val="34"/>
    <w:qFormat/>
    <w:rsid w:val="00F12683"/>
    <w:pPr>
      <w:spacing w:after="0" w:line="240" w:lineRule="auto"/>
      <w:ind w:left="720"/>
    </w:pPr>
    <w:rPr>
      <w:rFonts w:ascii="Calibri" w:hAnsi="Calibri" w:cs="Calibri"/>
    </w:rPr>
  </w:style>
  <w:style w:type="paragraph" w:styleId="NoSpacing">
    <w:name w:val="No Spacing"/>
    <w:uiPriority w:val="1"/>
    <w:qFormat/>
    <w:rsid w:val="00FA3465"/>
    <w:pPr>
      <w:spacing w:after="0" w:line="240" w:lineRule="auto"/>
    </w:pPr>
  </w:style>
  <w:style w:type="paragraph" w:customStyle="1" w:styleId="Default">
    <w:name w:val="Default"/>
    <w:rsid w:val="00FA3465"/>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E12F08"/>
    <w:rPr>
      <w:b/>
      <w:bCs/>
    </w:rPr>
  </w:style>
  <w:style w:type="character" w:customStyle="1" w:styleId="CommentSubjectChar">
    <w:name w:val="Comment Subject Char"/>
    <w:basedOn w:val="CommentTextChar"/>
    <w:link w:val="CommentSubject"/>
    <w:uiPriority w:val="99"/>
    <w:semiHidden/>
    <w:rsid w:val="00E12F08"/>
    <w:rPr>
      <w:b/>
      <w:bCs/>
      <w:sz w:val="20"/>
      <w:szCs w:val="20"/>
    </w:rPr>
  </w:style>
  <w:style w:type="character" w:styleId="Hyperlink">
    <w:name w:val="Hyperlink"/>
    <w:basedOn w:val="DefaultParagraphFont"/>
    <w:uiPriority w:val="99"/>
    <w:unhideWhenUsed/>
    <w:rsid w:val="00F93B06"/>
    <w:rPr>
      <w:color w:val="0563C1" w:themeColor="hyperlink"/>
      <w:u w:val="single"/>
    </w:rPr>
  </w:style>
  <w:style w:type="character" w:customStyle="1" w:styleId="UnresolvedMention">
    <w:name w:val="Unresolved Mention"/>
    <w:basedOn w:val="DefaultParagraphFont"/>
    <w:uiPriority w:val="99"/>
    <w:semiHidden/>
    <w:unhideWhenUsed/>
    <w:rsid w:val="002C0A74"/>
    <w:rPr>
      <w:color w:val="605E5C"/>
      <w:shd w:val="clear" w:color="auto" w:fill="E1DFDD"/>
    </w:rPr>
  </w:style>
  <w:style w:type="paragraph" w:styleId="Revision">
    <w:name w:val="Revision"/>
    <w:hidden/>
    <w:uiPriority w:val="99"/>
    <w:semiHidden/>
    <w:rsid w:val="002C0A74"/>
    <w:pPr>
      <w:spacing w:after="0" w:line="240" w:lineRule="auto"/>
    </w:pPr>
  </w:style>
  <w:style w:type="paragraph" w:styleId="FootnoteText">
    <w:name w:val="footnote text"/>
    <w:basedOn w:val="Normal"/>
    <w:link w:val="FootnoteTextChar"/>
    <w:uiPriority w:val="99"/>
    <w:semiHidden/>
    <w:rsid w:val="000B25FC"/>
    <w:pPr>
      <w:tabs>
        <w:tab w:val="left" w:pos="-720"/>
      </w:tabs>
      <w:suppressAutoHyphens/>
      <w:spacing w:after="0" w:line="240" w:lineRule="auto"/>
    </w:pPr>
    <w:rPr>
      <w:rFonts w:ascii="Courier" w:eastAsia="Times New Roman" w:hAnsi="Courier" w:cs="Times New Roman"/>
      <w:sz w:val="24"/>
      <w:szCs w:val="20"/>
    </w:rPr>
  </w:style>
  <w:style w:type="character" w:customStyle="1" w:styleId="FootnoteTextChar">
    <w:name w:val="Footnote Text Char"/>
    <w:basedOn w:val="DefaultParagraphFont"/>
    <w:link w:val="FootnoteText"/>
    <w:uiPriority w:val="99"/>
    <w:semiHidden/>
    <w:rsid w:val="000B25FC"/>
    <w:rPr>
      <w:rFonts w:ascii="Courier" w:eastAsia="Times New Roman" w:hAnsi="Courier" w:cs="Times New Roman"/>
      <w:sz w:val="24"/>
      <w:szCs w:val="20"/>
    </w:rPr>
  </w:style>
  <w:style w:type="character" w:styleId="FootnoteReference">
    <w:name w:val="footnote reference"/>
    <w:basedOn w:val="DefaultParagraphFont"/>
    <w:uiPriority w:val="99"/>
    <w:semiHidden/>
    <w:unhideWhenUsed/>
    <w:rsid w:val="00A653C6"/>
    <w:rPr>
      <w:vertAlign w:val="superscript"/>
    </w:rPr>
  </w:style>
  <w:style w:type="character" w:customStyle="1" w:styleId="Heading4Char">
    <w:name w:val="Heading 4 Char"/>
    <w:basedOn w:val="DefaultParagraphFont"/>
    <w:link w:val="Heading4"/>
    <w:uiPriority w:val="9"/>
    <w:semiHidden/>
    <w:rsid w:val="00A653C6"/>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CB2A0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5254">
      <w:bodyDiv w:val="1"/>
      <w:marLeft w:val="0"/>
      <w:marRight w:val="0"/>
      <w:marTop w:val="0"/>
      <w:marBottom w:val="0"/>
      <w:divBdr>
        <w:top w:val="none" w:sz="0" w:space="0" w:color="auto"/>
        <w:left w:val="none" w:sz="0" w:space="0" w:color="auto"/>
        <w:bottom w:val="none" w:sz="0" w:space="0" w:color="auto"/>
        <w:right w:val="none" w:sz="0" w:space="0" w:color="auto"/>
      </w:divBdr>
    </w:div>
    <w:div w:id="229925056">
      <w:bodyDiv w:val="1"/>
      <w:marLeft w:val="0"/>
      <w:marRight w:val="0"/>
      <w:marTop w:val="0"/>
      <w:marBottom w:val="0"/>
      <w:divBdr>
        <w:top w:val="none" w:sz="0" w:space="0" w:color="auto"/>
        <w:left w:val="none" w:sz="0" w:space="0" w:color="auto"/>
        <w:bottom w:val="none" w:sz="0" w:space="0" w:color="auto"/>
        <w:right w:val="none" w:sz="0" w:space="0" w:color="auto"/>
      </w:divBdr>
    </w:div>
    <w:div w:id="304820624">
      <w:bodyDiv w:val="1"/>
      <w:marLeft w:val="0"/>
      <w:marRight w:val="0"/>
      <w:marTop w:val="0"/>
      <w:marBottom w:val="0"/>
      <w:divBdr>
        <w:top w:val="none" w:sz="0" w:space="0" w:color="auto"/>
        <w:left w:val="none" w:sz="0" w:space="0" w:color="auto"/>
        <w:bottom w:val="none" w:sz="0" w:space="0" w:color="auto"/>
        <w:right w:val="none" w:sz="0" w:space="0" w:color="auto"/>
      </w:divBdr>
    </w:div>
    <w:div w:id="465246851">
      <w:bodyDiv w:val="1"/>
      <w:marLeft w:val="0"/>
      <w:marRight w:val="0"/>
      <w:marTop w:val="0"/>
      <w:marBottom w:val="0"/>
      <w:divBdr>
        <w:top w:val="none" w:sz="0" w:space="0" w:color="auto"/>
        <w:left w:val="none" w:sz="0" w:space="0" w:color="auto"/>
        <w:bottom w:val="none" w:sz="0" w:space="0" w:color="auto"/>
        <w:right w:val="none" w:sz="0" w:space="0" w:color="auto"/>
      </w:divBdr>
    </w:div>
    <w:div w:id="607547209">
      <w:bodyDiv w:val="1"/>
      <w:marLeft w:val="0"/>
      <w:marRight w:val="0"/>
      <w:marTop w:val="0"/>
      <w:marBottom w:val="0"/>
      <w:divBdr>
        <w:top w:val="none" w:sz="0" w:space="0" w:color="auto"/>
        <w:left w:val="none" w:sz="0" w:space="0" w:color="auto"/>
        <w:bottom w:val="none" w:sz="0" w:space="0" w:color="auto"/>
        <w:right w:val="none" w:sz="0" w:space="0" w:color="auto"/>
      </w:divBdr>
    </w:div>
    <w:div w:id="1007249152">
      <w:bodyDiv w:val="1"/>
      <w:marLeft w:val="0"/>
      <w:marRight w:val="0"/>
      <w:marTop w:val="0"/>
      <w:marBottom w:val="0"/>
      <w:divBdr>
        <w:top w:val="none" w:sz="0" w:space="0" w:color="auto"/>
        <w:left w:val="none" w:sz="0" w:space="0" w:color="auto"/>
        <w:bottom w:val="none" w:sz="0" w:space="0" w:color="auto"/>
        <w:right w:val="none" w:sz="0" w:space="0" w:color="auto"/>
      </w:divBdr>
    </w:div>
    <w:div w:id="1336616502">
      <w:bodyDiv w:val="1"/>
      <w:marLeft w:val="0"/>
      <w:marRight w:val="0"/>
      <w:marTop w:val="0"/>
      <w:marBottom w:val="0"/>
      <w:divBdr>
        <w:top w:val="none" w:sz="0" w:space="0" w:color="auto"/>
        <w:left w:val="none" w:sz="0" w:space="0" w:color="auto"/>
        <w:bottom w:val="none" w:sz="0" w:space="0" w:color="auto"/>
        <w:right w:val="none" w:sz="0" w:space="0" w:color="auto"/>
      </w:divBdr>
    </w:div>
    <w:div w:id="1378435526">
      <w:bodyDiv w:val="1"/>
      <w:marLeft w:val="0"/>
      <w:marRight w:val="0"/>
      <w:marTop w:val="0"/>
      <w:marBottom w:val="0"/>
      <w:divBdr>
        <w:top w:val="none" w:sz="0" w:space="0" w:color="auto"/>
        <w:left w:val="none" w:sz="0" w:space="0" w:color="auto"/>
        <w:bottom w:val="none" w:sz="0" w:space="0" w:color="auto"/>
        <w:right w:val="none" w:sz="0" w:space="0" w:color="auto"/>
      </w:divBdr>
    </w:div>
    <w:div w:id="1408843517">
      <w:bodyDiv w:val="1"/>
      <w:marLeft w:val="0"/>
      <w:marRight w:val="0"/>
      <w:marTop w:val="0"/>
      <w:marBottom w:val="0"/>
      <w:divBdr>
        <w:top w:val="none" w:sz="0" w:space="0" w:color="auto"/>
        <w:left w:val="none" w:sz="0" w:space="0" w:color="auto"/>
        <w:bottom w:val="none" w:sz="0" w:space="0" w:color="auto"/>
        <w:right w:val="none" w:sz="0" w:space="0" w:color="auto"/>
      </w:divBdr>
    </w:div>
    <w:div w:id="1670869327">
      <w:bodyDiv w:val="1"/>
      <w:marLeft w:val="0"/>
      <w:marRight w:val="0"/>
      <w:marTop w:val="0"/>
      <w:marBottom w:val="0"/>
      <w:divBdr>
        <w:top w:val="none" w:sz="0" w:space="0" w:color="auto"/>
        <w:left w:val="none" w:sz="0" w:space="0" w:color="auto"/>
        <w:bottom w:val="none" w:sz="0" w:space="0" w:color="auto"/>
        <w:right w:val="none" w:sz="0" w:space="0" w:color="auto"/>
      </w:divBdr>
    </w:div>
    <w:div w:id="1890602525">
      <w:bodyDiv w:val="1"/>
      <w:marLeft w:val="0"/>
      <w:marRight w:val="0"/>
      <w:marTop w:val="0"/>
      <w:marBottom w:val="0"/>
      <w:divBdr>
        <w:top w:val="none" w:sz="0" w:space="0" w:color="auto"/>
        <w:left w:val="none" w:sz="0" w:space="0" w:color="auto"/>
        <w:bottom w:val="none" w:sz="0" w:space="0" w:color="auto"/>
        <w:right w:val="none" w:sz="0" w:space="0" w:color="auto"/>
      </w:divBdr>
    </w:div>
    <w:div w:id="19930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mf.org/files/resources/articles-of-incorporation.pdf" TargetMode="External"/><Relationship Id="rId18" Type="http://schemas.openxmlformats.org/officeDocument/2006/relationships/hyperlink" Target="https://www2.ed.gov/policy/highered/leg/foreign-gifts.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sgac.senate.gov/imo/media/doc/PSI%20Report%20China's%20Impact%20on%20the%20US%20Education%20System.pdf" TargetMode="External"/><Relationship Id="rId17" Type="http://schemas.openxmlformats.org/officeDocument/2006/relationships/hyperlink" Target="http://www.gpo.gov/fdsys/pkg/USCODE-2009-title22/pdf/USCODE-2009-title22-chap11-subchapII.pdf" TargetMode="External"/><Relationship Id="rId2" Type="http://schemas.openxmlformats.org/officeDocument/2006/relationships/customXml" Target="../customXml/item2.xml"/><Relationship Id="rId16" Type="http://schemas.openxmlformats.org/officeDocument/2006/relationships/hyperlink" Target="https://leadbyexample.tamu.edu/txam-found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smf.org/files/resources/articles-of-incorporatio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adbyexample.tamu.edu/txam-found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2fcc7635a76c5f67631e0cd133a14e4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f862a262132dd2ee292fa3658162bc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8A1F4-7FD6-42A3-B0E6-C3FAE992E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0E131-179D-495C-9184-C79D1D9BC711}">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2e41e38-1731-4866-b09a-6257d8bc047f"/>
    <ds:schemaRef ds:uri="f87c7b8b-c0e7-4b77-a067-2c707fd1239f"/>
    <ds:schemaRef ds:uri="http://www.w3.org/XML/1998/namespace"/>
  </ds:schemaRefs>
</ds:datastoreItem>
</file>

<file path=customXml/itemProps3.xml><?xml version="1.0" encoding="utf-8"?>
<ds:datastoreItem xmlns:ds="http://schemas.openxmlformats.org/officeDocument/2006/customXml" ds:itemID="{FE6B8E57-A12F-48D8-9EC8-C9578E9D2F67}">
  <ds:schemaRefs>
    <ds:schemaRef ds:uri="http://schemas.microsoft.com/sharepoint/v3/contenttype/forms"/>
  </ds:schemaRefs>
</ds:datastoreItem>
</file>

<file path=customXml/itemProps4.xml><?xml version="1.0" encoding="utf-8"?>
<ds:datastoreItem xmlns:ds="http://schemas.openxmlformats.org/officeDocument/2006/customXml" ds:itemID="{0BCD4E02-358B-4988-9523-93D37B9B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6237</Words>
  <Characters>35555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Schlichter, Levon</dc:creator>
  <cp:keywords/>
  <dc:description/>
  <cp:lastModifiedBy>SYSTEM</cp:lastModifiedBy>
  <cp:revision>2</cp:revision>
  <cp:lastPrinted>2019-12-10T22:15:00Z</cp:lastPrinted>
  <dcterms:created xsi:type="dcterms:W3CDTF">2019-12-13T16:32:00Z</dcterms:created>
  <dcterms:modified xsi:type="dcterms:W3CDTF">2019-12-13T16:32:00Z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