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2240" w:type="dxa"/>
        <w:tblInd w:w="-1437" w:type="dxa"/>
        <w:tblCellMar>
          <w:left w:w="0" w:type="dxa"/>
          <w:right w:w="0" w:type="dxa"/>
        </w:tblCellMar>
        <w:tblLook w:val="0600" w:firstRow="0" w:lastRow="0" w:firstColumn="0" w:lastColumn="0" w:noHBand="1" w:noVBand="1"/>
      </w:tblPr>
      <w:tblGrid>
        <w:gridCol w:w="12240"/>
      </w:tblGrid>
      <w:tr w:rsidR="003260C7" w:rsidRPr="00AC1E53" w14:paraId="7A26E2F7" w14:textId="77777777" w:rsidTr="00B77245">
        <w:trPr>
          <w:cantSplit/>
          <w:trHeight w:val="1728"/>
        </w:trPr>
        <w:tc>
          <w:tcPr>
            <w:tcW w:w="12240" w:type="dxa"/>
            <w:tcBorders>
              <w:top w:val="nil"/>
              <w:left w:val="nil"/>
              <w:bottom w:val="nil"/>
              <w:right w:val="nil"/>
            </w:tcBorders>
            <w:shd w:val="clear" w:color="auto" w:fill="92D050"/>
            <w:tcMar>
              <w:top w:w="720" w:type="dxa"/>
              <w:left w:w="1440" w:type="dxa"/>
              <w:bottom w:w="720" w:type="dxa"/>
            </w:tcMar>
          </w:tcPr>
          <w:p w14:paraId="282B16AD" w14:textId="5BCFC2F2" w:rsidR="006F2403" w:rsidRDefault="006F2403" w:rsidP="00B37688">
            <w:pPr>
              <w:pStyle w:val="CoverTitle"/>
              <w:spacing w:after="0"/>
              <w:ind w:right="2880"/>
            </w:pPr>
            <w:bookmarkStart w:id="0" w:name="_Toc497903469"/>
            <w:r>
              <w:t xml:space="preserve">Evaluation of </w:t>
            </w:r>
            <w:r w:rsidR="00B37688">
              <w:t>CY2020 Medicare Home Health Services</w:t>
            </w:r>
            <w:r w:rsidR="00007185">
              <w:t>: Data Updates</w:t>
            </w:r>
          </w:p>
          <w:p w14:paraId="1811B3AE" w14:textId="0090EBC9" w:rsidR="003260C7" w:rsidRPr="005202C6" w:rsidRDefault="006F2403" w:rsidP="006F2403">
            <w:pPr>
              <w:pStyle w:val="CoverSubtitle"/>
              <w:ind w:right="2880"/>
              <w:rPr>
                <w:color w:val="FFFFFF" w:themeColor="background2"/>
              </w:rPr>
            </w:pPr>
            <w:r w:rsidRPr="006F2403">
              <w:rPr>
                <w:color w:val="FFFFFF" w:themeColor="background2"/>
              </w:rPr>
              <w:t xml:space="preserve">Analysis of </w:t>
            </w:r>
            <w:r w:rsidR="00A55932">
              <w:rPr>
                <w:color w:val="FFFFFF" w:themeColor="background2"/>
              </w:rPr>
              <w:t>Preliminary</w:t>
            </w:r>
            <w:r w:rsidR="00070EB7">
              <w:rPr>
                <w:color w:val="FFFFFF" w:themeColor="background2"/>
              </w:rPr>
              <w:t xml:space="preserve"> </w:t>
            </w:r>
            <w:r w:rsidR="00AA4CD8">
              <w:rPr>
                <w:color w:val="FFFFFF" w:themeColor="background2"/>
              </w:rPr>
              <w:t xml:space="preserve">2020 </w:t>
            </w:r>
            <w:r w:rsidR="007D0401">
              <w:rPr>
                <w:color w:val="FFFFFF" w:themeColor="background2"/>
              </w:rPr>
              <w:t>Medicare C</w:t>
            </w:r>
            <w:r w:rsidR="00AA4CD8">
              <w:rPr>
                <w:color w:val="FFFFFF" w:themeColor="background2"/>
              </w:rPr>
              <w:t>laims</w:t>
            </w:r>
            <w:r w:rsidR="00070EB7">
              <w:rPr>
                <w:color w:val="FFFFFF" w:themeColor="background2"/>
              </w:rPr>
              <w:t xml:space="preserve"> </w:t>
            </w:r>
            <w:r w:rsidR="00AA4CD8">
              <w:rPr>
                <w:color w:val="FFFFFF" w:themeColor="background2"/>
              </w:rPr>
              <w:t xml:space="preserve">to </w:t>
            </w:r>
            <w:r w:rsidR="00A55932">
              <w:rPr>
                <w:color w:val="FFFFFF" w:themeColor="background2"/>
              </w:rPr>
              <w:t xml:space="preserve">Assess </w:t>
            </w:r>
            <w:r w:rsidR="00AA4CD8">
              <w:rPr>
                <w:color w:val="FFFFFF" w:themeColor="background2"/>
              </w:rPr>
              <w:t xml:space="preserve">the </w:t>
            </w:r>
            <w:r w:rsidR="007D0401">
              <w:rPr>
                <w:color w:val="FFFFFF" w:themeColor="background2"/>
              </w:rPr>
              <w:t xml:space="preserve">Early </w:t>
            </w:r>
            <w:r w:rsidR="00A55932">
              <w:rPr>
                <w:color w:val="FFFFFF" w:themeColor="background2"/>
              </w:rPr>
              <w:t>I</w:t>
            </w:r>
            <w:r w:rsidR="00AA4CD8">
              <w:rPr>
                <w:color w:val="FFFFFF" w:themeColor="background2"/>
              </w:rPr>
              <w:t>mpact of</w:t>
            </w:r>
            <w:r w:rsidR="007D0401">
              <w:rPr>
                <w:color w:val="FFFFFF" w:themeColor="background2"/>
              </w:rPr>
              <w:t xml:space="preserve"> </w:t>
            </w:r>
            <w:r w:rsidR="00070EB7">
              <w:rPr>
                <w:color w:val="FFFFFF" w:themeColor="background2"/>
              </w:rPr>
              <w:t xml:space="preserve">PDGM </w:t>
            </w:r>
            <w:r w:rsidR="00B37688">
              <w:rPr>
                <w:color w:val="FFFFFF" w:themeColor="background2"/>
              </w:rPr>
              <w:t xml:space="preserve">Implementation and COVID-19 Pandemic </w:t>
            </w:r>
            <w:r w:rsidR="00070EB7">
              <w:rPr>
                <w:color w:val="FFFFFF" w:themeColor="background2"/>
              </w:rPr>
              <w:t xml:space="preserve">on Home Health Agencies </w:t>
            </w:r>
          </w:p>
        </w:tc>
      </w:tr>
    </w:tbl>
    <w:p w14:paraId="40DE05E2" w14:textId="77777777" w:rsidR="003260C7" w:rsidRDefault="003260C7" w:rsidP="003260C7">
      <w:r>
        <w:rPr>
          <w:noProof/>
        </w:rPr>
        <mc:AlternateContent>
          <mc:Choice Requires="wps">
            <w:drawing>
              <wp:anchor distT="0" distB="0" distL="114300" distR="114300" simplePos="0" relativeHeight="251659264" behindDoc="0" locked="0" layoutInCell="1" allowOverlap="1" wp14:anchorId="58D238BB" wp14:editId="13D746FC">
                <wp:simplePos x="0" y="0"/>
                <wp:positionH relativeFrom="page">
                  <wp:posOffset>5993765</wp:posOffset>
                </wp:positionH>
                <wp:positionV relativeFrom="page">
                  <wp:posOffset>6350</wp:posOffset>
                </wp:positionV>
                <wp:extent cx="1325880" cy="10058400"/>
                <wp:effectExtent l="0" t="0" r="7620" b="0"/>
                <wp:wrapNone/>
                <wp:docPr id="8"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5880" cy="10058400"/>
                        </a:xfrm>
                        <a:prstGeom prst="rect">
                          <a:avLst/>
                        </a:prstGeom>
                        <a:gradFill rotWithShape="1">
                          <a:gsLst>
                            <a:gs pos="0">
                              <a:srgbClr val="000066">
                                <a:alpha val="55000"/>
                              </a:srgbClr>
                            </a:gs>
                            <a:gs pos="100000">
                              <a:srgbClr val="057DA7">
                                <a:alpha val="55000"/>
                              </a:srgbClr>
                            </a:gs>
                          </a:gsLst>
                          <a:lin ang="5400000" scaled="1"/>
                        </a:gra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7E194" id="Rectangle 60" o:spid="_x0000_s1026" style="position:absolute;margin-left:471.95pt;margin-top:.5pt;width:104.4pt;height:11in;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" fillcolor="#006" stroked="f">
                <v:fill opacity="36044f" color2="#057da7" o:opacity2="36044f" rotate="t" focus="100%" type="gradient"/>
                <w10:wrap anchorx="page" anchory="page"/>
              </v:rect>
            </w:pict>
          </mc:Fallback>
        </mc:AlternateContent>
      </w:r>
    </w:p>
    <w:p w14:paraId="20947529" w14:textId="77777777" w:rsidR="003260C7" w:rsidRPr="005202C6" w:rsidRDefault="003260C7" w:rsidP="003260C7">
      <w:pPr>
        <w:spacing w:after="0" w:line="340" w:lineRule="exact"/>
        <w:rPr>
          <w:rFonts w:asciiTheme="majorHAnsi" w:hAnsiTheme="majorHAnsi"/>
          <w:sz w:val="24"/>
          <w:szCs w:val="24"/>
        </w:rPr>
      </w:pPr>
      <w:r w:rsidRPr="005202C6">
        <w:rPr>
          <w:rFonts w:asciiTheme="majorHAnsi" w:hAnsiTheme="majorHAnsi"/>
          <w:sz w:val="24"/>
          <w:szCs w:val="24"/>
        </w:rPr>
        <w:t>Submitted to:</w:t>
      </w:r>
    </w:p>
    <w:p w14:paraId="7A5F795D" w14:textId="77777777" w:rsidR="006F2403" w:rsidRDefault="006F2403" w:rsidP="006F2403">
      <w:pPr>
        <w:spacing w:after="0" w:line="340" w:lineRule="exact"/>
        <w:rPr>
          <w:rFonts w:asciiTheme="majorHAnsi" w:hAnsiTheme="majorHAnsi"/>
          <w:sz w:val="24"/>
          <w:szCs w:val="24"/>
        </w:rPr>
      </w:pPr>
      <w:r w:rsidRPr="002B5A28">
        <w:rPr>
          <w:rFonts w:asciiTheme="majorHAnsi" w:hAnsiTheme="majorHAnsi"/>
          <w:sz w:val="24"/>
          <w:szCs w:val="24"/>
        </w:rPr>
        <w:t>Partnership for Quality Home Healthcare (PQHH)</w:t>
      </w:r>
    </w:p>
    <w:p w14:paraId="3BBFCBF6" w14:textId="77777777" w:rsidR="006F2403" w:rsidRDefault="006F2403" w:rsidP="006F2403">
      <w:pPr>
        <w:spacing w:after="0" w:line="340" w:lineRule="exact"/>
        <w:rPr>
          <w:rFonts w:asciiTheme="majorHAnsi" w:hAnsiTheme="majorHAnsi"/>
          <w:sz w:val="24"/>
          <w:szCs w:val="24"/>
        </w:rPr>
      </w:pPr>
    </w:p>
    <w:p w14:paraId="48007ADA" w14:textId="77777777" w:rsidR="003260C7" w:rsidRPr="005202C6" w:rsidRDefault="003260C7" w:rsidP="003260C7">
      <w:pPr>
        <w:spacing w:after="0" w:line="340" w:lineRule="exact"/>
        <w:rPr>
          <w:rFonts w:asciiTheme="majorHAnsi" w:hAnsiTheme="majorHAnsi"/>
          <w:sz w:val="24"/>
          <w:szCs w:val="24"/>
        </w:rPr>
      </w:pPr>
    </w:p>
    <w:p w14:paraId="5575D8E8" w14:textId="77777777" w:rsidR="003260C7" w:rsidRPr="005202C6" w:rsidRDefault="003260C7" w:rsidP="003260C7">
      <w:pPr>
        <w:spacing w:after="0" w:line="340" w:lineRule="exact"/>
        <w:rPr>
          <w:rFonts w:asciiTheme="majorHAnsi" w:hAnsiTheme="majorHAnsi"/>
          <w:sz w:val="24"/>
          <w:szCs w:val="24"/>
        </w:rPr>
      </w:pPr>
      <w:r w:rsidRPr="005202C6">
        <w:rPr>
          <w:rFonts w:asciiTheme="majorHAnsi" w:hAnsiTheme="majorHAnsi"/>
          <w:sz w:val="24"/>
          <w:szCs w:val="24"/>
        </w:rPr>
        <w:t>Submitted by:</w:t>
      </w:r>
    </w:p>
    <w:p w14:paraId="250F22B6" w14:textId="77777777" w:rsidR="007A63B6" w:rsidRDefault="0025342C" w:rsidP="003260C7">
      <w:pPr>
        <w:spacing w:after="0" w:line="340" w:lineRule="exact"/>
        <w:rPr>
          <w:rFonts w:asciiTheme="majorHAnsi" w:hAnsiTheme="majorHAnsi"/>
          <w:sz w:val="24"/>
          <w:szCs w:val="24"/>
        </w:rPr>
      </w:pPr>
      <w:r>
        <w:rPr>
          <w:noProof/>
        </w:rPr>
        <w:drawing>
          <wp:anchor distT="0" distB="0" distL="114300" distR="114300" simplePos="0" relativeHeight="251660288" behindDoc="0" locked="0" layoutInCell="1" allowOverlap="1" wp14:anchorId="44CAFE59" wp14:editId="3A8C7D24">
            <wp:simplePos x="0" y="0"/>
            <wp:positionH relativeFrom="margin">
              <wp:posOffset>-18415</wp:posOffset>
            </wp:positionH>
            <wp:positionV relativeFrom="margin">
              <wp:posOffset>4023572</wp:posOffset>
            </wp:positionV>
            <wp:extent cx="1791970" cy="2743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1970" cy="274320"/>
                    </a:xfrm>
                    <a:prstGeom prst="rect">
                      <a:avLst/>
                    </a:prstGeom>
                    <a:noFill/>
                    <a:ln>
                      <a:noFill/>
                    </a:ln>
                  </pic:spPr>
                </pic:pic>
              </a:graphicData>
            </a:graphic>
          </wp:anchor>
        </w:drawing>
      </w:r>
    </w:p>
    <w:p w14:paraId="50B35F35" w14:textId="77777777" w:rsidR="007A63B6" w:rsidRDefault="007A63B6" w:rsidP="003260C7">
      <w:pPr>
        <w:spacing w:after="0" w:line="340" w:lineRule="exact"/>
        <w:rPr>
          <w:rFonts w:asciiTheme="majorHAnsi" w:hAnsiTheme="majorHAnsi"/>
          <w:sz w:val="24"/>
          <w:szCs w:val="24"/>
        </w:rPr>
      </w:pPr>
    </w:p>
    <w:p w14:paraId="0C584BD9" w14:textId="77777777" w:rsidR="006F2403" w:rsidRDefault="006F2403" w:rsidP="006F2403">
      <w:pPr>
        <w:spacing w:after="0" w:line="340" w:lineRule="exact"/>
        <w:rPr>
          <w:rFonts w:asciiTheme="majorHAnsi" w:hAnsiTheme="majorHAnsi"/>
          <w:sz w:val="24"/>
          <w:szCs w:val="24"/>
        </w:rPr>
      </w:pPr>
    </w:p>
    <w:p w14:paraId="32628446" w14:textId="77777777" w:rsidR="00B37688" w:rsidRDefault="00B37688" w:rsidP="006F2403">
      <w:pPr>
        <w:spacing w:after="0" w:line="340" w:lineRule="exact"/>
        <w:rPr>
          <w:rFonts w:asciiTheme="majorHAnsi" w:hAnsiTheme="majorHAnsi"/>
          <w:sz w:val="24"/>
          <w:szCs w:val="24"/>
        </w:rPr>
      </w:pPr>
    </w:p>
    <w:p w14:paraId="08792D00" w14:textId="77777777" w:rsidR="006F2403" w:rsidRDefault="006F2403" w:rsidP="006F2403">
      <w:pPr>
        <w:spacing w:after="0" w:line="340" w:lineRule="exact"/>
        <w:rPr>
          <w:rFonts w:asciiTheme="majorHAnsi" w:hAnsiTheme="majorHAnsi"/>
          <w:sz w:val="24"/>
          <w:szCs w:val="24"/>
        </w:rPr>
      </w:pPr>
      <w:r>
        <w:rPr>
          <w:rFonts w:asciiTheme="majorHAnsi" w:hAnsiTheme="majorHAnsi"/>
          <w:sz w:val="24"/>
          <w:szCs w:val="24"/>
        </w:rPr>
        <w:t xml:space="preserve">Al Dobson, Ph.D. </w:t>
      </w:r>
    </w:p>
    <w:p w14:paraId="2BC01BFD" w14:textId="77777777" w:rsidR="006F2403" w:rsidRDefault="006F2403" w:rsidP="006F2403">
      <w:pPr>
        <w:spacing w:after="0" w:line="340" w:lineRule="exact"/>
        <w:rPr>
          <w:rFonts w:asciiTheme="majorHAnsi" w:hAnsiTheme="majorHAnsi"/>
          <w:sz w:val="24"/>
          <w:szCs w:val="24"/>
        </w:rPr>
      </w:pPr>
      <w:r>
        <w:rPr>
          <w:rFonts w:asciiTheme="majorHAnsi" w:hAnsiTheme="majorHAnsi"/>
          <w:sz w:val="24"/>
          <w:szCs w:val="24"/>
        </w:rPr>
        <w:t>Alex Hartzman, M.P.A., M.P.H.</w:t>
      </w:r>
    </w:p>
    <w:p w14:paraId="03FE7B3A" w14:textId="77777777" w:rsidR="006F2403" w:rsidRDefault="00CA6971" w:rsidP="006F2403">
      <w:pPr>
        <w:spacing w:after="0" w:line="340" w:lineRule="exact"/>
        <w:rPr>
          <w:rFonts w:asciiTheme="majorHAnsi" w:hAnsiTheme="majorHAnsi"/>
          <w:sz w:val="24"/>
          <w:szCs w:val="24"/>
        </w:rPr>
      </w:pPr>
      <w:r>
        <w:rPr>
          <w:rFonts w:asciiTheme="majorHAnsi" w:hAnsiTheme="majorHAnsi"/>
          <w:sz w:val="24"/>
          <w:szCs w:val="24"/>
        </w:rPr>
        <w:t>Sandra Agik, Sc.M.</w:t>
      </w:r>
    </w:p>
    <w:p w14:paraId="54CA0A07" w14:textId="77777777" w:rsidR="003F6E12" w:rsidRDefault="00CA6971" w:rsidP="006F2403">
      <w:pPr>
        <w:spacing w:after="0" w:line="340" w:lineRule="exact"/>
        <w:rPr>
          <w:rFonts w:asciiTheme="majorHAnsi" w:hAnsiTheme="majorHAnsi"/>
          <w:sz w:val="24"/>
          <w:szCs w:val="24"/>
        </w:rPr>
      </w:pPr>
      <w:r>
        <w:rPr>
          <w:rFonts w:asciiTheme="majorHAnsi" w:hAnsiTheme="majorHAnsi"/>
          <w:sz w:val="24"/>
          <w:szCs w:val="24"/>
        </w:rPr>
        <w:t>Sung Kim</w:t>
      </w:r>
    </w:p>
    <w:p w14:paraId="65EFA3F4" w14:textId="77777777" w:rsidR="006F2403" w:rsidRPr="005202C6" w:rsidRDefault="006F2403" w:rsidP="006F2403">
      <w:pPr>
        <w:spacing w:after="0" w:line="340" w:lineRule="exact"/>
        <w:rPr>
          <w:rFonts w:asciiTheme="majorHAnsi" w:hAnsiTheme="majorHAnsi"/>
          <w:sz w:val="24"/>
          <w:szCs w:val="24"/>
        </w:rPr>
      </w:pPr>
      <w:r>
        <w:rPr>
          <w:rFonts w:asciiTheme="majorHAnsi" w:hAnsiTheme="majorHAnsi"/>
          <w:sz w:val="24"/>
          <w:szCs w:val="24"/>
        </w:rPr>
        <w:t>Joan DaVanzo, Ph.D., M.S.W.</w:t>
      </w:r>
    </w:p>
    <w:p w14:paraId="3571B9AF" w14:textId="77777777" w:rsidR="006F2403" w:rsidRPr="005202C6" w:rsidRDefault="006F2403" w:rsidP="006F2403">
      <w:pPr>
        <w:spacing w:after="0" w:line="340" w:lineRule="exact"/>
        <w:rPr>
          <w:rFonts w:asciiTheme="majorHAnsi" w:hAnsiTheme="majorHAnsi"/>
          <w:sz w:val="24"/>
          <w:szCs w:val="24"/>
        </w:rPr>
      </w:pPr>
    </w:p>
    <w:p w14:paraId="66ED3395" w14:textId="72F3BFB5" w:rsidR="006F2403" w:rsidRPr="005202C6" w:rsidRDefault="006F2403" w:rsidP="006F2403">
      <w:pPr>
        <w:spacing w:after="0" w:line="340" w:lineRule="exact"/>
        <w:rPr>
          <w:rFonts w:asciiTheme="majorHAnsi" w:hAnsiTheme="majorHAnsi"/>
          <w:sz w:val="24"/>
          <w:szCs w:val="24"/>
        </w:rPr>
      </w:pPr>
      <w:r w:rsidRPr="005202C6">
        <w:rPr>
          <w:rFonts w:asciiTheme="majorHAnsi" w:hAnsiTheme="majorHAnsi"/>
          <w:sz w:val="24"/>
          <w:szCs w:val="24"/>
        </w:rPr>
        <w:fldChar w:fldCharType="begin"/>
      </w:r>
      <w:r w:rsidRPr="005202C6">
        <w:rPr>
          <w:rFonts w:asciiTheme="majorHAnsi" w:hAnsiTheme="majorHAnsi"/>
          <w:sz w:val="24"/>
          <w:szCs w:val="24"/>
        </w:rPr>
        <w:instrText xml:space="preserve"> DATE  \@ "dddd, MMMM dd, yyyy"  \* MERGEFORMAT </w:instrText>
      </w:r>
      <w:r w:rsidRPr="005202C6">
        <w:rPr>
          <w:rFonts w:asciiTheme="majorHAnsi" w:hAnsiTheme="majorHAnsi"/>
          <w:sz w:val="24"/>
          <w:szCs w:val="24"/>
        </w:rPr>
        <w:fldChar w:fldCharType="separate"/>
      </w:r>
      <w:r w:rsidR="00A62C3C">
        <w:rPr>
          <w:rFonts w:asciiTheme="majorHAnsi" w:hAnsiTheme="majorHAnsi"/>
          <w:noProof/>
          <w:sz w:val="24"/>
          <w:szCs w:val="24"/>
        </w:rPr>
        <w:t>Monday, October 19, 2020</w:t>
      </w:r>
      <w:r w:rsidRPr="005202C6">
        <w:rPr>
          <w:rFonts w:asciiTheme="majorHAnsi" w:hAnsiTheme="majorHAnsi"/>
          <w:sz w:val="24"/>
          <w:szCs w:val="24"/>
        </w:rPr>
        <w:fldChar w:fldCharType="end"/>
      </w:r>
      <w:r w:rsidRPr="005202C6">
        <w:rPr>
          <w:rFonts w:asciiTheme="majorHAnsi" w:hAnsiTheme="majorHAnsi"/>
          <w:sz w:val="24"/>
          <w:szCs w:val="24"/>
        </w:rPr>
        <w:t xml:space="preserve"> </w:t>
      </w:r>
      <w:r w:rsidR="00B43540">
        <w:rPr>
          <w:rFonts w:asciiTheme="majorHAnsi" w:hAnsiTheme="majorHAnsi"/>
          <w:i/>
          <w:sz w:val="24"/>
          <w:szCs w:val="24"/>
        </w:rPr>
        <w:t xml:space="preserve"> </w:t>
      </w:r>
    </w:p>
    <w:p w14:paraId="34E0C022" w14:textId="77777777" w:rsidR="003260C7" w:rsidRPr="007F66B9" w:rsidRDefault="003260C7" w:rsidP="003260C7">
      <w:r w:rsidRPr="007F66B9">
        <w:br w:type="page"/>
      </w:r>
    </w:p>
    <w:bookmarkEnd w:id="0"/>
    <w:p w14:paraId="2D37AC7F" w14:textId="5E2F3DEA" w:rsidR="00937C99" w:rsidRPr="00465EDB" w:rsidRDefault="00E80B6A" w:rsidP="00937C99">
      <w:pPr>
        <w:pStyle w:val="Heading2"/>
      </w:pPr>
      <w:r>
        <w:lastRenderedPageBreak/>
        <w:t>Introduction</w:t>
      </w:r>
    </w:p>
    <w:p w14:paraId="289A729E" w14:textId="47CE4461" w:rsidR="00B72168" w:rsidRDefault="00B72168" w:rsidP="00776AD4">
      <w:pPr>
        <w:ind w:right="0"/>
        <w:rPr>
          <w:rFonts w:cstheme="minorHAnsi"/>
        </w:rPr>
      </w:pPr>
      <w:r>
        <w:rPr>
          <w:rFonts w:cstheme="minorHAnsi"/>
        </w:rPr>
        <w:t>This report provides technical and data updates to the prior report that was attached to Partnership for Quality Home Healthcare (PQHH) public comments on the Calendar Year (CY) 2021 Home Health Prospective Payment System (HH PPS) proposed rule. Updates here include: 1) additional months of data (now reporting through June 2020), 2) new adjustment approaches to further elucidate case volume and payment changes compared to projections used in rate setting</w:t>
      </w:r>
      <w:r w:rsidR="004B18BB">
        <w:rPr>
          <w:rFonts w:cstheme="minorHAnsi"/>
        </w:rPr>
        <w:t xml:space="preserve"> files,</w:t>
      </w:r>
      <w:r>
        <w:rPr>
          <w:rFonts w:cstheme="minorHAnsi"/>
        </w:rPr>
        <w:t xml:space="preserve"> and 3) a correction to our </w:t>
      </w:r>
      <w:r w:rsidR="004B18BB">
        <w:rPr>
          <w:rFonts w:cstheme="minorHAnsi"/>
        </w:rPr>
        <w:t xml:space="preserve">Low-Utilization Payment Adjustment (LUPA) </w:t>
      </w:r>
      <w:r>
        <w:rPr>
          <w:rFonts w:cstheme="minorHAnsi"/>
        </w:rPr>
        <w:t xml:space="preserve">methodology which previously overcounted LUPA claims (however the updated estimate is </w:t>
      </w:r>
      <w:r w:rsidR="00357150">
        <w:rPr>
          <w:rFonts w:cstheme="minorHAnsi"/>
        </w:rPr>
        <w:t xml:space="preserve">still </w:t>
      </w:r>
      <w:r w:rsidR="004B18BB" w:rsidRPr="004B18BB">
        <w:rPr>
          <w:rFonts w:cstheme="minorHAnsi"/>
        </w:rPr>
        <w:t>nearly</w:t>
      </w:r>
      <w:r w:rsidRPr="004B18BB">
        <w:rPr>
          <w:rFonts w:cstheme="minorHAnsi"/>
        </w:rPr>
        <w:t xml:space="preserve"> 3 times higher </w:t>
      </w:r>
      <w:r w:rsidR="004B18BB">
        <w:rPr>
          <w:rFonts w:cstheme="minorHAnsi"/>
        </w:rPr>
        <w:t xml:space="preserve">than </w:t>
      </w:r>
      <w:r w:rsidRPr="004B18BB">
        <w:rPr>
          <w:rFonts w:cstheme="minorHAnsi"/>
        </w:rPr>
        <w:t>CMS projections).</w:t>
      </w:r>
    </w:p>
    <w:p w14:paraId="4BE15D4D" w14:textId="63123985" w:rsidR="00776AD4" w:rsidRPr="00860D42" w:rsidRDefault="00776AD4" w:rsidP="00776AD4">
      <w:pPr>
        <w:ind w:right="0"/>
        <w:rPr>
          <w:rFonts w:cstheme="minorHAnsi"/>
        </w:rPr>
      </w:pPr>
      <w:r w:rsidRPr="00860D42">
        <w:rPr>
          <w:rFonts w:cstheme="minorHAnsi"/>
        </w:rPr>
        <w:t xml:space="preserve">Dobson DaVanzo &amp; Associates (Dobson | DaVanzo) was commissioned by </w:t>
      </w:r>
      <w:r w:rsidR="004B18BB">
        <w:rPr>
          <w:rFonts w:cstheme="minorHAnsi"/>
        </w:rPr>
        <w:t>PQHH</w:t>
      </w:r>
      <w:r w:rsidRPr="00860D42">
        <w:rPr>
          <w:rFonts w:cstheme="minorHAnsi"/>
        </w:rPr>
        <w:t xml:space="preserve"> to analyze </w:t>
      </w:r>
      <w:r>
        <w:rPr>
          <w:rFonts w:cstheme="minorHAnsi"/>
        </w:rPr>
        <w:t>available</w:t>
      </w:r>
      <w:r w:rsidRPr="00860D42">
        <w:rPr>
          <w:rFonts w:cstheme="minorHAnsi"/>
        </w:rPr>
        <w:t xml:space="preserve"> </w:t>
      </w:r>
      <w:r>
        <w:rPr>
          <w:rFonts w:cstheme="minorHAnsi"/>
        </w:rPr>
        <w:t>Medicare home health claims</w:t>
      </w:r>
      <w:r w:rsidRPr="00860D42">
        <w:rPr>
          <w:rFonts w:cstheme="minorHAnsi"/>
        </w:rPr>
        <w:t xml:space="preserve"> data</w:t>
      </w:r>
      <w:r>
        <w:rPr>
          <w:rFonts w:cstheme="minorHAnsi"/>
        </w:rPr>
        <w:t xml:space="preserve"> reflecting </w:t>
      </w:r>
      <w:r w:rsidR="00765FE9">
        <w:rPr>
          <w:rFonts w:cstheme="minorHAnsi"/>
        </w:rPr>
        <w:t xml:space="preserve">the </w:t>
      </w:r>
      <w:r w:rsidR="0099378B">
        <w:rPr>
          <w:rFonts w:cstheme="minorHAnsi"/>
        </w:rPr>
        <w:t xml:space="preserve">initial implementation of the </w:t>
      </w:r>
      <w:r>
        <w:rPr>
          <w:rFonts w:cstheme="minorHAnsi"/>
        </w:rPr>
        <w:t>Patient-Driven Groupings Model (PDGM)</w:t>
      </w:r>
      <w:r w:rsidRPr="00860D42">
        <w:rPr>
          <w:rFonts w:cstheme="minorHAnsi"/>
        </w:rPr>
        <w:t>. Dobson | DaVanzo previously supported PQHH in the review of PDGM</w:t>
      </w:r>
      <w:r>
        <w:rPr>
          <w:rFonts w:cstheme="minorHAnsi"/>
        </w:rPr>
        <w:t xml:space="preserve"> </w:t>
      </w:r>
      <w:r w:rsidRPr="00860D42">
        <w:rPr>
          <w:rFonts w:cstheme="minorHAnsi"/>
        </w:rPr>
        <w:t xml:space="preserve">as included in the </w:t>
      </w:r>
      <w:r>
        <w:rPr>
          <w:rFonts w:cstheme="minorHAnsi"/>
        </w:rPr>
        <w:t>CY</w:t>
      </w:r>
      <w:r w:rsidRPr="00860D42">
        <w:rPr>
          <w:rFonts w:cstheme="minorHAnsi"/>
        </w:rPr>
        <w:t xml:space="preserve">2018, CY2019, and CY2020 HH PPS proposed </w:t>
      </w:r>
      <w:r>
        <w:rPr>
          <w:rFonts w:cstheme="minorHAnsi"/>
        </w:rPr>
        <w:t xml:space="preserve">and final </w:t>
      </w:r>
      <w:r w:rsidRPr="00860D42">
        <w:rPr>
          <w:rFonts w:cstheme="minorHAnsi"/>
        </w:rPr>
        <w:t xml:space="preserve">rules, as well as accompanying technical reports. To inform our analyses and conclusions, we draw on this prior work along with other responses to the </w:t>
      </w:r>
      <w:r>
        <w:rPr>
          <w:rFonts w:cstheme="minorHAnsi"/>
        </w:rPr>
        <w:t xml:space="preserve">prior </w:t>
      </w:r>
      <w:r w:rsidRPr="00860D42">
        <w:rPr>
          <w:rFonts w:cstheme="minorHAnsi"/>
        </w:rPr>
        <w:t xml:space="preserve">comment periods, the </w:t>
      </w:r>
      <w:r w:rsidR="0099378B">
        <w:rPr>
          <w:rFonts w:cstheme="minorHAnsi"/>
        </w:rPr>
        <w:t xml:space="preserve">Abt </w:t>
      </w:r>
      <w:r w:rsidRPr="00860D42">
        <w:rPr>
          <w:rFonts w:cstheme="minorHAnsi"/>
        </w:rPr>
        <w:t xml:space="preserve">Technical Expert Panel report, as well as early 2020 claims </w:t>
      </w:r>
      <w:r>
        <w:rPr>
          <w:rFonts w:cstheme="minorHAnsi"/>
        </w:rPr>
        <w:t>data</w:t>
      </w:r>
      <w:r w:rsidRPr="00860D42">
        <w:rPr>
          <w:rFonts w:cstheme="minorHAnsi"/>
        </w:rPr>
        <w:t xml:space="preserve">, </w:t>
      </w:r>
      <w:r>
        <w:rPr>
          <w:rFonts w:cstheme="minorHAnsi"/>
        </w:rPr>
        <w:t xml:space="preserve">published CY2020 </w:t>
      </w:r>
      <w:r w:rsidRPr="00860D42">
        <w:rPr>
          <w:rFonts w:cstheme="minorHAnsi"/>
        </w:rPr>
        <w:t xml:space="preserve">PDGM </w:t>
      </w:r>
      <w:r>
        <w:rPr>
          <w:rFonts w:cstheme="minorHAnsi"/>
        </w:rPr>
        <w:t>case-mix weights</w:t>
      </w:r>
      <w:r w:rsidRPr="00860D42">
        <w:rPr>
          <w:rFonts w:cstheme="minorHAnsi"/>
        </w:rPr>
        <w:t xml:space="preserve">, </w:t>
      </w:r>
      <w:r>
        <w:rPr>
          <w:rFonts w:cstheme="minorHAnsi"/>
        </w:rPr>
        <w:t>and CY2020</w:t>
      </w:r>
      <w:r w:rsidRPr="00860D42">
        <w:rPr>
          <w:rFonts w:cstheme="minorHAnsi"/>
        </w:rPr>
        <w:t xml:space="preserve"> </w:t>
      </w:r>
      <w:r>
        <w:rPr>
          <w:rFonts w:cstheme="minorHAnsi"/>
        </w:rPr>
        <w:t xml:space="preserve">rate-setting and impact </w:t>
      </w:r>
      <w:r w:rsidRPr="00860D42">
        <w:rPr>
          <w:rFonts w:cstheme="minorHAnsi"/>
        </w:rPr>
        <w:t>file</w:t>
      </w:r>
      <w:r>
        <w:rPr>
          <w:rFonts w:cstheme="minorHAnsi"/>
        </w:rPr>
        <w:t>s.</w:t>
      </w:r>
      <w:r w:rsidRPr="00860D42">
        <w:rPr>
          <w:rFonts w:cstheme="minorHAnsi"/>
        </w:rPr>
        <w:t xml:space="preserve"> </w:t>
      </w:r>
    </w:p>
    <w:p w14:paraId="1FC532A9" w14:textId="77777777" w:rsidR="00C51245" w:rsidRDefault="00255F01" w:rsidP="000B439E">
      <w:pPr>
        <w:ind w:right="0"/>
        <w:rPr>
          <w:rFonts w:cstheme="minorHAnsi"/>
        </w:rPr>
      </w:pPr>
      <w:r w:rsidRPr="00860D42">
        <w:rPr>
          <w:rFonts w:cstheme="minorHAnsi"/>
        </w:rPr>
        <w:t>Effective January 1, 2020, t</w:t>
      </w:r>
      <w:r w:rsidR="00E80B6A" w:rsidRPr="00860D42">
        <w:rPr>
          <w:rFonts w:cstheme="minorHAnsi"/>
        </w:rPr>
        <w:t xml:space="preserve">he PDGM </w:t>
      </w:r>
      <w:r w:rsidR="002A7A1D" w:rsidRPr="00860D42">
        <w:rPr>
          <w:rFonts w:cstheme="minorHAnsi"/>
        </w:rPr>
        <w:t xml:space="preserve">overhauled the </w:t>
      </w:r>
      <w:r w:rsidR="00E80B6A" w:rsidRPr="00860D42">
        <w:rPr>
          <w:rFonts w:cstheme="minorHAnsi"/>
        </w:rPr>
        <w:t>HH PPS</w:t>
      </w:r>
      <w:r w:rsidR="000B439E">
        <w:rPr>
          <w:rFonts w:cstheme="minorHAnsi"/>
        </w:rPr>
        <w:t xml:space="preserve"> episode and case-mix group definitions, payment weights and base rate</w:t>
      </w:r>
      <w:r w:rsidR="00E80B6A" w:rsidRPr="00860D42">
        <w:rPr>
          <w:rFonts w:cstheme="minorHAnsi"/>
        </w:rPr>
        <w:t xml:space="preserve">. PDGM is a </w:t>
      </w:r>
      <w:r w:rsidR="00B37688">
        <w:rPr>
          <w:rFonts w:cstheme="minorHAnsi"/>
        </w:rPr>
        <w:t>revision of the Home Health Resource Group (HHRG)</w:t>
      </w:r>
      <w:r w:rsidR="003F6E12">
        <w:rPr>
          <w:rFonts w:cstheme="minorHAnsi"/>
        </w:rPr>
        <w:t xml:space="preserve"> </w:t>
      </w:r>
      <w:r w:rsidR="00776AD4">
        <w:rPr>
          <w:rFonts w:cstheme="minorHAnsi"/>
        </w:rPr>
        <w:t xml:space="preserve">case-mix group definitions </w:t>
      </w:r>
      <w:r w:rsidR="003A1572" w:rsidRPr="00860D42">
        <w:rPr>
          <w:rFonts w:cstheme="minorHAnsi"/>
        </w:rPr>
        <w:t xml:space="preserve">initially </w:t>
      </w:r>
      <w:r w:rsidR="00E80B6A" w:rsidRPr="00860D42">
        <w:rPr>
          <w:rFonts w:cstheme="minorHAnsi"/>
        </w:rPr>
        <w:t xml:space="preserve">proposed in the </w:t>
      </w:r>
      <w:r w:rsidR="00513790">
        <w:rPr>
          <w:rFonts w:cstheme="minorHAnsi"/>
        </w:rPr>
        <w:t>CY</w:t>
      </w:r>
      <w:r w:rsidR="00E80B6A" w:rsidRPr="00860D42">
        <w:rPr>
          <w:rFonts w:cstheme="minorHAnsi"/>
        </w:rPr>
        <w:t xml:space="preserve">2018 HH PPS administrative rulemaking </w:t>
      </w:r>
      <w:r w:rsidR="00513790" w:rsidRPr="00860D42">
        <w:rPr>
          <w:rFonts w:cstheme="minorHAnsi"/>
        </w:rPr>
        <w:t>cycle</w:t>
      </w:r>
      <w:r w:rsidR="00513790">
        <w:rPr>
          <w:rFonts w:cstheme="minorHAnsi"/>
        </w:rPr>
        <w:t xml:space="preserve"> that was </w:t>
      </w:r>
      <w:r w:rsidR="007E553B" w:rsidRPr="00860D42">
        <w:rPr>
          <w:rFonts w:cstheme="minorHAnsi"/>
        </w:rPr>
        <w:t xml:space="preserve">refined </w:t>
      </w:r>
      <w:r w:rsidR="00513790">
        <w:rPr>
          <w:rFonts w:cstheme="minorHAnsi"/>
        </w:rPr>
        <w:t xml:space="preserve">and finalized </w:t>
      </w:r>
      <w:r w:rsidR="007E553B" w:rsidRPr="00860D42">
        <w:rPr>
          <w:rFonts w:cstheme="minorHAnsi"/>
        </w:rPr>
        <w:t xml:space="preserve">in the CY2019 </w:t>
      </w:r>
      <w:r w:rsidR="003A1572" w:rsidRPr="00860D42">
        <w:rPr>
          <w:rFonts w:cstheme="minorHAnsi"/>
        </w:rPr>
        <w:t xml:space="preserve">and CY2020 </w:t>
      </w:r>
      <w:r w:rsidR="007E553B" w:rsidRPr="00860D42">
        <w:rPr>
          <w:rFonts w:cstheme="minorHAnsi"/>
        </w:rPr>
        <w:t>HH PPS rulemaking cycle</w:t>
      </w:r>
      <w:r w:rsidR="003A1572" w:rsidRPr="00860D42">
        <w:rPr>
          <w:rFonts w:cstheme="minorHAnsi"/>
        </w:rPr>
        <w:t>s</w:t>
      </w:r>
      <w:r w:rsidR="00E80B6A" w:rsidRPr="00860D42">
        <w:rPr>
          <w:rFonts w:cstheme="minorHAnsi"/>
        </w:rPr>
        <w:t xml:space="preserve">. </w:t>
      </w:r>
      <w:r w:rsidR="00E960BE" w:rsidRPr="00860D42">
        <w:rPr>
          <w:rFonts w:cstheme="minorHAnsi"/>
        </w:rPr>
        <w:t xml:space="preserve">The CY2021 HH PPS rule proposes limited changes to PDGM. </w:t>
      </w:r>
      <w:r w:rsidR="00A55932">
        <w:rPr>
          <w:rFonts w:cstheme="minorHAnsi"/>
        </w:rPr>
        <w:t xml:space="preserve">Complicating the preliminary evaluation of PDGM implementation is the ongoing </w:t>
      </w:r>
      <w:r w:rsidR="00176D8B">
        <w:rPr>
          <w:rFonts w:cstheme="minorHAnsi"/>
        </w:rPr>
        <w:t>novel coronavirus (</w:t>
      </w:r>
      <w:r w:rsidR="00A55932">
        <w:rPr>
          <w:rFonts w:cstheme="minorHAnsi"/>
        </w:rPr>
        <w:t>COVID-19</w:t>
      </w:r>
      <w:r w:rsidR="00176D8B">
        <w:rPr>
          <w:rFonts w:cstheme="minorHAnsi"/>
        </w:rPr>
        <w:t>)</w:t>
      </w:r>
      <w:r w:rsidR="00A55932">
        <w:rPr>
          <w:rFonts w:cstheme="minorHAnsi"/>
        </w:rPr>
        <w:t xml:space="preserve"> public health emergency (PHE). </w:t>
      </w:r>
    </w:p>
    <w:p w14:paraId="6B352F25" w14:textId="18C6394B" w:rsidR="00685497" w:rsidRDefault="00685497" w:rsidP="000B439E">
      <w:pPr>
        <w:ind w:right="0"/>
        <w:rPr>
          <w:rFonts w:cstheme="minorHAnsi"/>
        </w:rPr>
      </w:pPr>
      <w:r>
        <w:rPr>
          <w:rFonts w:cstheme="minorHAnsi"/>
        </w:rPr>
        <w:t xml:space="preserve">Comparison of preliminarily available 2020 Medicare claims to projections used in rate setting indicates that home health case volume, total payments, and average payments have declined in 2020, and that </w:t>
      </w:r>
      <w:r w:rsidR="004B18BB">
        <w:rPr>
          <w:rFonts w:cstheme="minorHAnsi"/>
        </w:rPr>
        <w:t>LUPA</w:t>
      </w:r>
      <w:r>
        <w:rPr>
          <w:rFonts w:cstheme="minorHAnsi"/>
        </w:rPr>
        <w:t xml:space="preserve"> </w:t>
      </w:r>
      <w:r w:rsidR="00D86583">
        <w:rPr>
          <w:rFonts w:cstheme="minorHAnsi"/>
        </w:rPr>
        <w:t xml:space="preserve">case </w:t>
      </w:r>
      <w:r>
        <w:rPr>
          <w:rFonts w:cstheme="minorHAnsi"/>
        </w:rPr>
        <w:t xml:space="preserve">rates have increased. While it is difficult to parse what effects are due to the PDGM implementation itself and what </w:t>
      </w:r>
      <w:r w:rsidR="00B7123D">
        <w:rPr>
          <w:rFonts w:cstheme="minorHAnsi"/>
        </w:rPr>
        <w:t xml:space="preserve">are </w:t>
      </w:r>
      <w:r>
        <w:rPr>
          <w:rFonts w:cstheme="minorHAnsi"/>
        </w:rPr>
        <w:t xml:space="preserve">due to the ongoing COVID-19 PHE, the outcome is that it appears so far </w:t>
      </w:r>
      <w:r w:rsidR="00B7123D">
        <w:rPr>
          <w:rFonts w:cstheme="minorHAnsi"/>
        </w:rPr>
        <w:t xml:space="preserve">that </w:t>
      </w:r>
      <w:r>
        <w:rPr>
          <w:rFonts w:cstheme="minorHAnsi"/>
        </w:rPr>
        <w:t>the CY2020 HH PPS is not budget neutral to prior years. Using available data from January-</w:t>
      </w:r>
      <w:r w:rsidR="00642825">
        <w:rPr>
          <w:rFonts w:cstheme="minorHAnsi"/>
        </w:rPr>
        <w:t xml:space="preserve">June </w:t>
      </w:r>
      <w:r>
        <w:rPr>
          <w:rFonts w:cstheme="minorHAnsi"/>
        </w:rPr>
        <w:t xml:space="preserve">2020 we estimate the system </w:t>
      </w:r>
      <w:r w:rsidR="00B13873">
        <w:rPr>
          <w:rFonts w:cstheme="minorHAnsi"/>
        </w:rPr>
        <w:t xml:space="preserve">payment rate </w:t>
      </w:r>
      <w:r w:rsidR="00776AD4">
        <w:rPr>
          <w:rFonts w:cstheme="minorHAnsi"/>
        </w:rPr>
        <w:t>to</w:t>
      </w:r>
      <w:r>
        <w:rPr>
          <w:rFonts w:cstheme="minorHAnsi"/>
        </w:rPr>
        <w:t xml:space="preserve"> be </w:t>
      </w:r>
      <w:r w:rsidR="00B7123D">
        <w:rPr>
          <w:rFonts w:cstheme="minorHAnsi"/>
        </w:rPr>
        <w:t xml:space="preserve">approximately </w:t>
      </w:r>
      <w:r w:rsidR="00642825">
        <w:rPr>
          <w:rFonts w:cstheme="minorHAnsi"/>
        </w:rPr>
        <w:t>5</w:t>
      </w:r>
      <w:r>
        <w:rPr>
          <w:rFonts w:cstheme="minorHAnsi"/>
        </w:rPr>
        <w:t>% below budget neutral payment levels</w:t>
      </w:r>
      <w:r w:rsidR="00B13873">
        <w:rPr>
          <w:rFonts w:cstheme="minorHAnsi"/>
        </w:rPr>
        <w:t>; w</w:t>
      </w:r>
      <w:r w:rsidR="00B13873">
        <w:t>e discuss budget neutrality in terms of payment rate which is not affected by the PHE-related decline in case volume.</w:t>
      </w:r>
      <w:r w:rsidR="00B13873">
        <w:rPr>
          <w:rFonts w:cstheme="minorHAnsi"/>
        </w:rPr>
        <w:t xml:space="preserve"> </w:t>
      </w:r>
      <w:r w:rsidR="00BB488A">
        <w:rPr>
          <w:rFonts w:cstheme="minorHAnsi"/>
        </w:rPr>
        <w:t>A</w:t>
      </w:r>
      <w:r w:rsidR="00776AD4">
        <w:rPr>
          <w:rFonts w:cstheme="minorHAnsi"/>
        </w:rPr>
        <w:t>gency a</w:t>
      </w:r>
      <w:r w:rsidR="00BB488A">
        <w:rPr>
          <w:rFonts w:cstheme="minorHAnsi"/>
        </w:rPr>
        <w:t xml:space="preserve">djustments made </w:t>
      </w:r>
      <w:r w:rsidR="00776AD4">
        <w:rPr>
          <w:rFonts w:cstheme="minorHAnsi"/>
        </w:rPr>
        <w:t>in</w:t>
      </w:r>
      <w:r w:rsidR="00BB488A">
        <w:rPr>
          <w:rFonts w:cstheme="minorHAnsi"/>
        </w:rPr>
        <w:t xml:space="preserve"> the remainder of the year </w:t>
      </w:r>
      <w:r w:rsidR="00A53A2E">
        <w:rPr>
          <w:rFonts w:cstheme="minorHAnsi"/>
        </w:rPr>
        <w:t>appear</w:t>
      </w:r>
      <w:r w:rsidR="00BB488A">
        <w:rPr>
          <w:rFonts w:cstheme="minorHAnsi"/>
        </w:rPr>
        <w:t xml:space="preserve"> unlikely to make up for the payment </w:t>
      </w:r>
      <w:r w:rsidR="001B0519">
        <w:rPr>
          <w:rFonts w:cstheme="minorHAnsi"/>
        </w:rPr>
        <w:t>rate</w:t>
      </w:r>
      <w:r w:rsidR="00BB488A">
        <w:rPr>
          <w:rFonts w:cstheme="minorHAnsi"/>
        </w:rPr>
        <w:t xml:space="preserve"> shortfall</w:t>
      </w:r>
      <w:r w:rsidR="00B7123D">
        <w:rPr>
          <w:rFonts w:cstheme="minorHAnsi"/>
        </w:rPr>
        <w:t>,</w:t>
      </w:r>
      <w:r w:rsidR="00BB488A">
        <w:rPr>
          <w:rFonts w:cstheme="minorHAnsi"/>
        </w:rPr>
        <w:t xml:space="preserve"> in part </w:t>
      </w:r>
      <w:r w:rsidR="00A53A2E">
        <w:rPr>
          <w:rFonts w:cstheme="minorHAnsi"/>
        </w:rPr>
        <w:t xml:space="preserve">due to prospective reductions to the base payment rate </w:t>
      </w:r>
      <w:r w:rsidR="0099378B">
        <w:rPr>
          <w:rFonts w:cstheme="minorHAnsi"/>
        </w:rPr>
        <w:t>for assumed provider behavioral changes e</w:t>
      </w:r>
      <w:r w:rsidR="00A53A2E">
        <w:rPr>
          <w:rFonts w:cstheme="minorHAnsi"/>
        </w:rPr>
        <w:t>nacted by CMS.</w:t>
      </w:r>
    </w:p>
    <w:p w14:paraId="725E8FA8" w14:textId="2DF028C8" w:rsidR="00C51245" w:rsidRPr="00860D42" w:rsidRDefault="00A55932" w:rsidP="001217A2">
      <w:pPr>
        <w:ind w:right="0"/>
        <w:rPr>
          <w:rFonts w:cstheme="minorHAnsi"/>
        </w:rPr>
      </w:pPr>
      <w:r>
        <w:rPr>
          <w:rFonts w:cstheme="minorHAnsi"/>
        </w:rPr>
        <w:t>When implementing PDGM</w:t>
      </w:r>
      <w:r w:rsidR="00513790">
        <w:rPr>
          <w:rFonts w:cstheme="minorHAnsi"/>
        </w:rPr>
        <w:t xml:space="preserve"> in the CY2020 Final Rule (FR)</w:t>
      </w:r>
      <w:r w:rsidR="00C51245" w:rsidRPr="00860D42">
        <w:rPr>
          <w:rFonts w:cstheme="minorHAnsi"/>
        </w:rPr>
        <w:t xml:space="preserve">, CMS </w:t>
      </w:r>
      <w:r>
        <w:rPr>
          <w:rFonts w:cstheme="minorHAnsi"/>
        </w:rPr>
        <w:t xml:space="preserve">prospectively reduced the HH PPS base rate </w:t>
      </w:r>
      <w:r w:rsidR="00685497">
        <w:rPr>
          <w:rFonts w:cstheme="minorHAnsi"/>
        </w:rPr>
        <w:t xml:space="preserve">from the budget neutral calculated level </w:t>
      </w:r>
      <w:r>
        <w:rPr>
          <w:rFonts w:cstheme="minorHAnsi"/>
        </w:rPr>
        <w:t>by 4.36%</w:t>
      </w:r>
      <w:r w:rsidR="00685497">
        <w:rPr>
          <w:rFonts w:cstheme="minorHAnsi"/>
        </w:rPr>
        <w:t xml:space="preserve">. </w:t>
      </w:r>
      <w:r w:rsidR="00BB488A">
        <w:rPr>
          <w:rFonts w:cstheme="minorHAnsi"/>
        </w:rPr>
        <w:t xml:space="preserve">This prospective base rate reduction is </w:t>
      </w:r>
      <w:r w:rsidR="00513790">
        <w:rPr>
          <w:rFonts w:cstheme="minorHAnsi"/>
        </w:rPr>
        <w:t xml:space="preserve">inherently </w:t>
      </w:r>
      <w:r w:rsidR="00BB488A">
        <w:rPr>
          <w:rFonts w:cstheme="minorHAnsi"/>
        </w:rPr>
        <w:t>a significant contributor to the observed payment shortfall</w:t>
      </w:r>
      <w:r w:rsidR="00513790">
        <w:rPr>
          <w:rFonts w:cstheme="minorHAnsi"/>
        </w:rPr>
        <w:t xml:space="preserve"> – even without th</w:t>
      </w:r>
      <w:r w:rsidR="0099378B">
        <w:rPr>
          <w:rFonts w:cstheme="minorHAnsi"/>
        </w:rPr>
        <w:t>is</w:t>
      </w:r>
      <w:r w:rsidR="00513790">
        <w:rPr>
          <w:rFonts w:cstheme="minorHAnsi"/>
        </w:rPr>
        <w:t xml:space="preserve"> reduction, payments would still be below</w:t>
      </w:r>
      <w:r w:rsidR="001D0A69">
        <w:rPr>
          <w:rFonts w:cstheme="minorHAnsi"/>
        </w:rPr>
        <w:t xml:space="preserve"> </w:t>
      </w:r>
      <w:r w:rsidR="00513790">
        <w:rPr>
          <w:rFonts w:cstheme="minorHAnsi"/>
        </w:rPr>
        <w:t>budget neutral levels</w:t>
      </w:r>
      <w:r w:rsidR="00BB488A">
        <w:rPr>
          <w:rFonts w:cstheme="minorHAnsi"/>
        </w:rPr>
        <w:t xml:space="preserve">. </w:t>
      </w:r>
      <w:r w:rsidR="00A53A2E">
        <w:rPr>
          <w:rFonts w:cstheme="minorHAnsi"/>
        </w:rPr>
        <w:t>The level of</w:t>
      </w:r>
      <w:r w:rsidR="00685497">
        <w:rPr>
          <w:rFonts w:cstheme="minorHAnsi"/>
        </w:rPr>
        <w:t xml:space="preserve"> </w:t>
      </w:r>
      <w:r w:rsidR="00A53A2E">
        <w:rPr>
          <w:rFonts w:cstheme="minorHAnsi"/>
        </w:rPr>
        <w:t xml:space="preserve">rate reduction </w:t>
      </w:r>
      <w:r w:rsidR="00685497">
        <w:rPr>
          <w:rFonts w:cstheme="minorHAnsi"/>
        </w:rPr>
        <w:t>was</w:t>
      </w:r>
      <w:r>
        <w:rPr>
          <w:rFonts w:cstheme="minorHAnsi"/>
        </w:rPr>
        <w:t xml:space="preserve"> </w:t>
      </w:r>
      <w:r w:rsidR="00176D8B">
        <w:rPr>
          <w:rFonts w:cstheme="minorHAnsi"/>
        </w:rPr>
        <w:t>justified by</w:t>
      </w:r>
      <w:r>
        <w:rPr>
          <w:rFonts w:cstheme="minorHAnsi"/>
        </w:rPr>
        <w:t xml:space="preserve"> </w:t>
      </w:r>
      <w:r w:rsidR="00357150">
        <w:rPr>
          <w:rFonts w:cstheme="minorHAnsi"/>
        </w:rPr>
        <w:t xml:space="preserve">CMS though </w:t>
      </w:r>
      <w:r w:rsidR="00685497">
        <w:rPr>
          <w:rFonts w:cstheme="minorHAnsi"/>
        </w:rPr>
        <w:t xml:space="preserve">analytic </w:t>
      </w:r>
      <w:r>
        <w:rPr>
          <w:rFonts w:cstheme="minorHAnsi"/>
        </w:rPr>
        <w:t xml:space="preserve">assumptions on how providers </w:t>
      </w:r>
      <w:r w:rsidR="00513790">
        <w:rPr>
          <w:rFonts w:cstheme="minorHAnsi"/>
        </w:rPr>
        <w:t>might</w:t>
      </w:r>
      <w:r>
        <w:rPr>
          <w:rFonts w:cstheme="minorHAnsi"/>
        </w:rPr>
        <w:t xml:space="preserve"> change their behavior once PDGM was implemented. </w:t>
      </w:r>
      <w:r w:rsidRPr="00860D42">
        <w:rPr>
          <w:rFonts w:cstheme="minorHAnsi"/>
        </w:rPr>
        <w:t>In the CY2020 FR</w:t>
      </w:r>
      <w:r>
        <w:rPr>
          <w:rFonts w:cstheme="minorHAnsi"/>
        </w:rPr>
        <w:t xml:space="preserve">, CMS </w:t>
      </w:r>
      <w:r w:rsidR="00C51245" w:rsidRPr="00860D42">
        <w:rPr>
          <w:rFonts w:cstheme="minorHAnsi"/>
        </w:rPr>
        <w:t>described three underlying assumptions to determine the behavioral adjustment:</w:t>
      </w:r>
    </w:p>
    <w:p w14:paraId="30BA0B8E" w14:textId="77777777" w:rsidR="00C51245" w:rsidRPr="00860D42" w:rsidRDefault="00C51245" w:rsidP="00901FCC">
      <w:pPr>
        <w:pStyle w:val="ListParagraph"/>
        <w:numPr>
          <w:ilvl w:val="0"/>
          <w:numId w:val="3"/>
        </w:numPr>
        <w:rPr>
          <w:rFonts w:cstheme="minorHAnsi"/>
        </w:rPr>
      </w:pPr>
      <w:r w:rsidRPr="00860D42">
        <w:rPr>
          <w:rFonts w:cstheme="minorHAnsi"/>
        </w:rPr>
        <w:t>For one-third of LUPAs that are one to two visits away from the LUPA threshold, HHAs will provide one to two extra visits to receive a full 30-day payment.</w:t>
      </w:r>
    </w:p>
    <w:p w14:paraId="6C5A133C" w14:textId="77777777" w:rsidR="00C51245" w:rsidRPr="00860D42" w:rsidRDefault="00C51245" w:rsidP="008907E7">
      <w:pPr>
        <w:pStyle w:val="ListParagraph"/>
        <w:numPr>
          <w:ilvl w:val="0"/>
          <w:numId w:val="3"/>
        </w:numPr>
        <w:spacing w:after="0"/>
        <w:rPr>
          <w:rFonts w:cstheme="minorHAnsi"/>
        </w:rPr>
      </w:pPr>
      <w:r w:rsidRPr="00860D42">
        <w:rPr>
          <w:rFonts w:cstheme="minorHAnsi"/>
        </w:rPr>
        <w:lastRenderedPageBreak/>
        <w:t>HHAs will change documentation and coding practices and put the highest paying diagnosis code as the principal diagnosis code</w:t>
      </w:r>
      <w:r w:rsidR="00513790">
        <w:rPr>
          <w:rFonts w:cstheme="minorHAnsi"/>
        </w:rPr>
        <w:t xml:space="preserve"> (payment optimized clinical coding)</w:t>
      </w:r>
      <w:r w:rsidRPr="00860D42">
        <w:rPr>
          <w:rFonts w:cstheme="minorHAnsi"/>
        </w:rPr>
        <w:t>. This allows a 30-day period of care to be placed into a higher-paying clinical group.</w:t>
      </w:r>
    </w:p>
    <w:p w14:paraId="46012253" w14:textId="77777777" w:rsidR="0093284D" w:rsidRPr="0093284D" w:rsidRDefault="0093284D" w:rsidP="008907E7">
      <w:pPr>
        <w:spacing w:after="0"/>
        <w:ind w:left="360"/>
        <w:rPr>
          <w:rFonts w:cstheme="minorHAnsi"/>
        </w:rPr>
      </w:pPr>
    </w:p>
    <w:p w14:paraId="56A0DE08" w14:textId="5D7E0134" w:rsidR="00C51245" w:rsidRPr="00860D42" w:rsidRDefault="00C51245" w:rsidP="0093284D">
      <w:pPr>
        <w:pStyle w:val="ListParagraph"/>
        <w:numPr>
          <w:ilvl w:val="0"/>
          <w:numId w:val="3"/>
        </w:numPr>
        <w:rPr>
          <w:rFonts w:cstheme="minorHAnsi"/>
        </w:rPr>
      </w:pPr>
      <w:r w:rsidRPr="00860D42">
        <w:rPr>
          <w:rFonts w:cstheme="minorHAnsi"/>
        </w:rPr>
        <w:t xml:space="preserve">By taking into account additional ICD-10-CM diagnosis codes listed on the </w:t>
      </w:r>
      <w:r w:rsidR="00513790">
        <w:rPr>
          <w:rFonts w:cstheme="minorHAnsi"/>
        </w:rPr>
        <w:t>HHA</w:t>
      </w:r>
      <w:r w:rsidRPr="00860D42">
        <w:rPr>
          <w:rFonts w:cstheme="minorHAnsi"/>
        </w:rPr>
        <w:t xml:space="preserve"> claim (that exceed the six allowed on the OASIS), more 30-day periods of care will receive a comorbidity adjustment than periods otherwise would have received if CMS had only used the OASIS diagnosis codes for payment.</w:t>
      </w:r>
    </w:p>
    <w:p w14:paraId="7472AED9" w14:textId="3EC0ACDD" w:rsidR="00E80B6A" w:rsidRDefault="00580F04" w:rsidP="0093284D">
      <w:pPr>
        <w:ind w:right="0"/>
        <w:rPr>
          <w:rFonts w:cstheme="minorHAnsi"/>
        </w:rPr>
      </w:pPr>
      <w:r w:rsidRPr="00860D42">
        <w:rPr>
          <w:rFonts w:cstheme="minorHAnsi"/>
        </w:rPr>
        <w:t xml:space="preserve">CMS based its projections and assumptions in the </w:t>
      </w:r>
      <w:r w:rsidR="00776AD4">
        <w:rPr>
          <w:rFonts w:cstheme="minorHAnsi"/>
        </w:rPr>
        <w:t>CY2020 FR</w:t>
      </w:r>
      <w:r w:rsidRPr="00860D42">
        <w:rPr>
          <w:rFonts w:cstheme="minorHAnsi"/>
        </w:rPr>
        <w:t xml:space="preserve"> using 2018 claims data </w:t>
      </w:r>
      <w:r w:rsidR="00776AD4">
        <w:rPr>
          <w:rFonts w:cstheme="minorHAnsi"/>
        </w:rPr>
        <w:t>(</w:t>
      </w:r>
      <w:r w:rsidRPr="00860D42">
        <w:rPr>
          <w:rFonts w:cstheme="minorHAnsi"/>
        </w:rPr>
        <w:t>paid through July 31, 2019</w:t>
      </w:r>
      <w:r w:rsidR="00776AD4">
        <w:rPr>
          <w:rFonts w:cstheme="minorHAnsi"/>
        </w:rPr>
        <w:t>)</w:t>
      </w:r>
      <w:r w:rsidRPr="00860D42">
        <w:rPr>
          <w:rFonts w:cstheme="minorHAnsi"/>
        </w:rPr>
        <w:t xml:space="preserve"> to inform its calculations.</w:t>
      </w:r>
      <w:r w:rsidR="00053B5F" w:rsidRPr="00860D42">
        <w:rPr>
          <w:rFonts w:cstheme="minorHAnsi"/>
        </w:rPr>
        <w:t xml:space="preserve"> </w:t>
      </w:r>
      <w:r w:rsidRPr="00860D42">
        <w:rPr>
          <w:rFonts w:cstheme="minorHAnsi"/>
        </w:rPr>
        <w:t>Now</w:t>
      </w:r>
      <w:r w:rsidR="00053B5F" w:rsidRPr="00860D42">
        <w:rPr>
          <w:rFonts w:cstheme="minorHAnsi"/>
        </w:rPr>
        <w:t xml:space="preserve"> </w:t>
      </w:r>
      <w:r w:rsidR="00374572">
        <w:rPr>
          <w:rFonts w:cstheme="minorHAnsi"/>
        </w:rPr>
        <w:t>ten</w:t>
      </w:r>
      <w:r w:rsidR="00374572" w:rsidRPr="00860D42">
        <w:rPr>
          <w:rFonts w:cstheme="minorHAnsi"/>
        </w:rPr>
        <w:t xml:space="preserve"> </w:t>
      </w:r>
      <w:r w:rsidR="00053B5F" w:rsidRPr="00860D42">
        <w:rPr>
          <w:rFonts w:cstheme="minorHAnsi"/>
        </w:rPr>
        <w:t>months</w:t>
      </w:r>
      <w:r w:rsidRPr="00860D42">
        <w:rPr>
          <w:rFonts w:cstheme="minorHAnsi"/>
        </w:rPr>
        <w:t xml:space="preserve"> in</w:t>
      </w:r>
      <w:r w:rsidR="00CA6971">
        <w:rPr>
          <w:rFonts w:cstheme="minorHAnsi"/>
        </w:rPr>
        <w:t>to the implementation of the new payment system</w:t>
      </w:r>
      <w:r w:rsidRPr="00860D42">
        <w:rPr>
          <w:rFonts w:cstheme="minorHAnsi"/>
        </w:rPr>
        <w:t>,</w:t>
      </w:r>
      <w:r w:rsidR="00053B5F" w:rsidRPr="00860D42">
        <w:rPr>
          <w:rFonts w:cstheme="minorHAnsi"/>
        </w:rPr>
        <w:t xml:space="preserve"> there </w:t>
      </w:r>
      <w:r w:rsidR="0093284D">
        <w:rPr>
          <w:rFonts w:cstheme="minorHAnsi"/>
        </w:rPr>
        <w:t>are</w:t>
      </w:r>
      <w:r w:rsidR="0093284D" w:rsidRPr="00860D42">
        <w:rPr>
          <w:rFonts w:cstheme="minorHAnsi"/>
        </w:rPr>
        <w:t xml:space="preserve"> </w:t>
      </w:r>
      <w:r w:rsidR="00CA6971">
        <w:rPr>
          <w:rFonts w:cstheme="minorHAnsi"/>
        </w:rPr>
        <w:t>preliminary</w:t>
      </w:r>
      <w:r w:rsidR="00CA6971" w:rsidRPr="00860D42">
        <w:rPr>
          <w:rFonts w:cstheme="minorHAnsi"/>
        </w:rPr>
        <w:t xml:space="preserve"> </w:t>
      </w:r>
      <w:r w:rsidR="00053B5F" w:rsidRPr="00860D42">
        <w:rPr>
          <w:rFonts w:cstheme="minorHAnsi"/>
        </w:rPr>
        <w:t xml:space="preserve">data to evaluate </w:t>
      </w:r>
      <w:r w:rsidRPr="00860D42">
        <w:rPr>
          <w:rFonts w:cstheme="minorHAnsi"/>
        </w:rPr>
        <w:t>whether the</w:t>
      </w:r>
      <w:r w:rsidR="00176D8B">
        <w:rPr>
          <w:rFonts w:cstheme="minorHAnsi"/>
        </w:rPr>
        <w:t>se</w:t>
      </w:r>
      <w:r w:rsidRPr="00860D42">
        <w:rPr>
          <w:rFonts w:cstheme="minorHAnsi"/>
        </w:rPr>
        <w:t xml:space="preserve"> assumptions </w:t>
      </w:r>
      <w:r w:rsidR="00513790">
        <w:rPr>
          <w:rFonts w:cstheme="minorHAnsi"/>
        </w:rPr>
        <w:t xml:space="preserve">have </w:t>
      </w:r>
      <w:r w:rsidRPr="00860D42">
        <w:rPr>
          <w:rFonts w:cstheme="minorHAnsi"/>
        </w:rPr>
        <w:t>h</w:t>
      </w:r>
      <w:r w:rsidR="00513790">
        <w:rPr>
          <w:rFonts w:cstheme="minorHAnsi"/>
        </w:rPr>
        <w:t>e</w:t>
      </w:r>
      <w:r w:rsidRPr="00860D42">
        <w:rPr>
          <w:rFonts w:cstheme="minorHAnsi"/>
        </w:rPr>
        <w:t>ld true. However, it is</w:t>
      </w:r>
      <w:r w:rsidR="006A456E" w:rsidRPr="00860D42">
        <w:rPr>
          <w:rFonts w:cstheme="minorHAnsi"/>
        </w:rPr>
        <w:t xml:space="preserve"> important to note that </w:t>
      </w:r>
      <w:r w:rsidRPr="00860D42">
        <w:rPr>
          <w:rFonts w:cstheme="minorHAnsi"/>
        </w:rPr>
        <w:t>h</w:t>
      </w:r>
      <w:r w:rsidR="006A456E" w:rsidRPr="00860D42">
        <w:rPr>
          <w:rFonts w:cstheme="minorHAnsi"/>
        </w:rPr>
        <w:t xml:space="preserve">ome health providers </w:t>
      </w:r>
      <w:r w:rsidRPr="00860D42">
        <w:rPr>
          <w:rFonts w:cstheme="minorHAnsi"/>
        </w:rPr>
        <w:t>have</w:t>
      </w:r>
      <w:r w:rsidR="006A456E" w:rsidRPr="00860D42">
        <w:rPr>
          <w:rFonts w:cstheme="minorHAnsi"/>
        </w:rPr>
        <w:t xml:space="preserve"> also</w:t>
      </w:r>
      <w:r w:rsidRPr="00860D42">
        <w:rPr>
          <w:rFonts w:cstheme="minorHAnsi"/>
        </w:rPr>
        <w:t xml:space="preserve"> been</w:t>
      </w:r>
      <w:r w:rsidR="006A456E" w:rsidRPr="00860D42">
        <w:rPr>
          <w:rFonts w:cstheme="minorHAnsi"/>
        </w:rPr>
        <w:t xml:space="preserve"> </w:t>
      </w:r>
      <w:r w:rsidRPr="00860D42">
        <w:rPr>
          <w:rFonts w:cstheme="minorHAnsi"/>
        </w:rPr>
        <w:t xml:space="preserve">grappling with </w:t>
      </w:r>
      <w:r w:rsidR="00176D8B">
        <w:rPr>
          <w:rFonts w:cstheme="minorHAnsi"/>
        </w:rPr>
        <w:t xml:space="preserve">the ongoing </w:t>
      </w:r>
      <w:r w:rsidRPr="00860D42">
        <w:rPr>
          <w:rFonts w:cstheme="minorHAnsi"/>
        </w:rPr>
        <w:t xml:space="preserve">COVID-19 </w:t>
      </w:r>
      <w:r w:rsidR="00176D8B">
        <w:rPr>
          <w:rFonts w:cstheme="minorHAnsi"/>
        </w:rPr>
        <w:t>PHE</w:t>
      </w:r>
      <w:r w:rsidR="00176D8B" w:rsidRPr="00860D42">
        <w:rPr>
          <w:rFonts w:cstheme="minorHAnsi"/>
        </w:rPr>
        <w:t xml:space="preserve"> </w:t>
      </w:r>
      <w:r w:rsidR="0093284D">
        <w:rPr>
          <w:rFonts w:cstheme="minorHAnsi"/>
        </w:rPr>
        <w:t xml:space="preserve">as well as </w:t>
      </w:r>
      <w:r w:rsidR="00176D8B">
        <w:rPr>
          <w:rFonts w:cstheme="minorHAnsi"/>
        </w:rPr>
        <w:t>widespread</w:t>
      </w:r>
      <w:r w:rsidR="00176D8B" w:rsidRPr="00860D42">
        <w:rPr>
          <w:rFonts w:cstheme="minorHAnsi"/>
        </w:rPr>
        <w:t xml:space="preserve"> </w:t>
      </w:r>
      <w:r w:rsidR="00513790">
        <w:rPr>
          <w:rFonts w:cstheme="minorHAnsi"/>
        </w:rPr>
        <w:t xml:space="preserve">state-level </w:t>
      </w:r>
      <w:r w:rsidR="00176D8B">
        <w:rPr>
          <w:rFonts w:cstheme="minorHAnsi"/>
        </w:rPr>
        <w:t xml:space="preserve">public policy actions beginning </w:t>
      </w:r>
      <w:r w:rsidRPr="00860D42">
        <w:rPr>
          <w:rFonts w:cstheme="minorHAnsi"/>
        </w:rPr>
        <w:t>in March of 2020</w:t>
      </w:r>
      <w:r w:rsidR="00053B5F" w:rsidRPr="00860D42">
        <w:rPr>
          <w:rFonts w:cstheme="minorHAnsi"/>
        </w:rPr>
        <w:t>.</w:t>
      </w:r>
    </w:p>
    <w:p w14:paraId="6EAAA1C8" w14:textId="12AF317F" w:rsidR="00D86583" w:rsidRPr="00860D42" w:rsidRDefault="00D86583" w:rsidP="00D86583">
      <w:pPr>
        <w:ind w:right="0"/>
        <w:rPr>
          <w:rFonts w:cstheme="minorHAnsi"/>
        </w:rPr>
      </w:pPr>
      <w:r>
        <w:rPr>
          <w:rFonts w:cstheme="minorHAnsi"/>
        </w:rPr>
        <w:t xml:space="preserve">Using preliminary 2020 Medicare claims, we find </w:t>
      </w:r>
      <w:r w:rsidRPr="00860D42">
        <w:rPr>
          <w:rFonts w:cstheme="minorHAnsi"/>
        </w:rPr>
        <w:t xml:space="preserve">that </w:t>
      </w:r>
      <w:r>
        <w:rPr>
          <w:rFonts w:cstheme="minorHAnsi"/>
        </w:rPr>
        <w:t>the</w:t>
      </w:r>
      <w:r w:rsidRPr="00860D42">
        <w:rPr>
          <w:rFonts w:cstheme="minorHAnsi"/>
        </w:rPr>
        <w:t xml:space="preserve"> </w:t>
      </w:r>
      <w:r w:rsidR="00513790">
        <w:rPr>
          <w:rFonts w:cstheme="minorHAnsi"/>
        </w:rPr>
        <w:t xml:space="preserve">behavioral </w:t>
      </w:r>
      <w:r w:rsidRPr="00860D42">
        <w:rPr>
          <w:rFonts w:cstheme="minorHAnsi"/>
        </w:rPr>
        <w:t xml:space="preserve">assumptions </w:t>
      </w:r>
      <w:r w:rsidR="00513790">
        <w:rPr>
          <w:rFonts w:cstheme="minorHAnsi"/>
        </w:rPr>
        <w:t xml:space="preserve">for </w:t>
      </w:r>
      <w:r w:rsidRPr="00860D42">
        <w:rPr>
          <w:rFonts w:cstheme="minorHAnsi"/>
        </w:rPr>
        <w:t xml:space="preserve">PDGM </w:t>
      </w:r>
      <w:r w:rsidR="00513790">
        <w:rPr>
          <w:rFonts w:cstheme="minorHAnsi"/>
        </w:rPr>
        <w:t xml:space="preserve">implementation </w:t>
      </w:r>
      <w:r>
        <w:rPr>
          <w:rFonts w:cstheme="minorHAnsi"/>
        </w:rPr>
        <w:t>have</w:t>
      </w:r>
      <w:r w:rsidRPr="00860D42">
        <w:rPr>
          <w:rFonts w:cstheme="minorHAnsi"/>
        </w:rPr>
        <w:t xml:space="preserve"> not h</w:t>
      </w:r>
      <w:r>
        <w:rPr>
          <w:rFonts w:cstheme="minorHAnsi"/>
        </w:rPr>
        <w:t>e</w:t>
      </w:r>
      <w:r w:rsidRPr="00860D42">
        <w:rPr>
          <w:rFonts w:cstheme="minorHAnsi"/>
        </w:rPr>
        <w:t>ld true</w:t>
      </w:r>
      <w:r w:rsidR="0093284D">
        <w:rPr>
          <w:rFonts w:cstheme="minorHAnsi"/>
        </w:rPr>
        <w:t>. Furthermore, these erroneous assumptions have</w:t>
      </w:r>
      <w:r w:rsidRPr="00860D42">
        <w:rPr>
          <w:rFonts w:cstheme="minorHAnsi"/>
        </w:rPr>
        <w:t xml:space="preserve"> implications for home health market stability and subsequently beneficiary access to home health services</w:t>
      </w:r>
      <w:r>
        <w:rPr>
          <w:rFonts w:cstheme="minorHAnsi"/>
        </w:rPr>
        <w:t xml:space="preserve">. We find evidence that neither the LUPA assumption nor the </w:t>
      </w:r>
      <w:r w:rsidR="00513790">
        <w:rPr>
          <w:rFonts w:cstheme="minorHAnsi"/>
        </w:rPr>
        <w:t>payment optimization of clinical coding assumption</w:t>
      </w:r>
      <w:r>
        <w:rPr>
          <w:rFonts w:cstheme="minorHAnsi"/>
        </w:rPr>
        <w:t xml:space="preserve"> have occurred through </w:t>
      </w:r>
      <w:r w:rsidR="00B72168">
        <w:rPr>
          <w:rFonts w:cstheme="minorHAnsi"/>
        </w:rPr>
        <w:t xml:space="preserve">June </w:t>
      </w:r>
      <w:r w:rsidR="0099378B">
        <w:rPr>
          <w:rFonts w:cstheme="minorHAnsi"/>
        </w:rPr>
        <w:t>2020</w:t>
      </w:r>
      <w:r>
        <w:rPr>
          <w:rFonts w:cstheme="minorHAnsi"/>
        </w:rPr>
        <w:t xml:space="preserve">. Analyses of preliminarily available data suggest that the COVID-19 PHE may have led to </w:t>
      </w:r>
      <w:r w:rsidR="0099378B">
        <w:rPr>
          <w:rFonts w:cstheme="minorHAnsi"/>
        </w:rPr>
        <w:t>a</w:t>
      </w:r>
      <w:r>
        <w:rPr>
          <w:rFonts w:cstheme="minorHAnsi"/>
        </w:rPr>
        <w:t xml:space="preserve">n apparent increase </w:t>
      </w:r>
      <w:r w:rsidR="00765FE9">
        <w:rPr>
          <w:rFonts w:cstheme="minorHAnsi"/>
        </w:rPr>
        <w:t xml:space="preserve">in </w:t>
      </w:r>
      <w:r>
        <w:rPr>
          <w:rFonts w:cstheme="minorHAnsi"/>
        </w:rPr>
        <w:t xml:space="preserve">case-mix severity </w:t>
      </w:r>
      <w:r w:rsidR="00765FE9">
        <w:rPr>
          <w:rFonts w:cstheme="minorHAnsi"/>
        </w:rPr>
        <w:t>for the</w:t>
      </w:r>
      <w:r>
        <w:rPr>
          <w:rFonts w:cstheme="minorHAnsi"/>
        </w:rPr>
        <w:t xml:space="preserve"> high comorbidity and </w:t>
      </w:r>
      <w:r w:rsidR="00513790">
        <w:rPr>
          <w:rFonts w:cstheme="minorHAnsi"/>
        </w:rPr>
        <w:t xml:space="preserve">high </w:t>
      </w:r>
      <w:r>
        <w:rPr>
          <w:rFonts w:cstheme="minorHAnsi"/>
        </w:rPr>
        <w:t>functional need groups; utilization decreased overall and LUPA rates increased, but less so among cases with high comorbidity and functional need scores, suggesting patients with the most severe needs were more likely than others to receive full episodes</w:t>
      </w:r>
      <w:r w:rsidR="0093284D">
        <w:rPr>
          <w:rFonts w:cstheme="minorHAnsi"/>
        </w:rPr>
        <w:t xml:space="preserve"> of care</w:t>
      </w:r>
      <w:r>
        <w:rPr>
          <w:rFonts w:cstheme="minorHAnsi"/>
        </w:rPr>
        <w:t xml:space="preserve">. </w:t>
      </w:r>
    </w:p>
    <w:p w14:paraId="230D65AD" w14:textId="660A8E3B" w:rsidR="00E80B6A" w:rsidRPr="00860D42" w:rsidRDefault="00E80B6A" w:rsidP="00A55932">
      <w:pPr>
        <w:ind w:right="0"/>
        <w:rPr>
          <w:rFonts w:cstheme="minorHAnsi"/>
        </w:rPr>
      </w:pPr>
      <w:r w:rsidRPr="00860D42">
        <w:rPr>
          <w:rFonts w:cstheme="minorHAnsi"/>
        </w:rPr>
        <w:t xml:space="preserve">We commend CMS for making extensive case data available and showing transparency to enable robust and productive commentary by the public. </w:t>
      </w:r>
      <w:r w:rsidR="00160424" w:rsidRPr="00860D42">
        <w:rPr>
          <w:rFonts w:cstheme="minorHAnsi"/>
        </w:rPr>
        <w:t>In the CY2020</w:t>
      </w:r>
      <w:r w:rsidR="00AD2758" w:rsidRPr="00860D42">
        <w:rPr>
          <w:rFonts w:cstheme="minorHAnsi"/>
        </w:rPr>
        <w:t xml:space="preserve"> </w:t>
      </w:r>
      <w:r w:rsidR="00D23459">
        <w:rPr>
          <w:rFonts w:cstheme="minorHAnsi"/>
        </w:rPr>
        <w:t xml:space="preserve">FR </w:t>
      </w:r>
      <w:r w:rsidR="0074039F" w:rsidRPr="00860D42">
        <w:rPr>
          <w:rFonts w:cstheme="minorHAnsi"/>
        </w:rPr>
        <w:t>CMS OASIS</w:t>
      </w:r>
      <w:r w:rsidR="0028403A" w:rsidRPr="00860D42">
        <w:rPr>
          <w:rFonts w:cstheme="minorHAnsi"/>
        </w:rPr>
        <w:t>-</w:t>
      </w:r>
      <w:r w:rsidR="0074039F" w:rsidRPr="00860D42">
        <w:rPr>
          <w:rFonts w:cstheme="minorHAnsi"/>
        </w:rPr>
        <w:t xml:space="preserve">LDS PDGM </w:t>
      </w:r>
      <w:r w:rsidR="00D23459" w:rsidRPr="006866DD">
        <w:rPr>
          <w:rFonts w:cstheme="minorHAnsi"/>
        </w:rPr>
        <w:t>rate-setting</w:t>
      </w:r>
      <w:r w:rsidR="00D23459" w:rsidRPr="00A55932">
        <w:rPr>
          <w:rFonts w:cstheme="minorHAnsi"/>
        </w:rPr>
        <w:t xml:space="preserve"> and</w:t>
      </w:r>
      <w:r w:rsidR="00D23459">
        <w:rPr>
          <w:rFonts w:cstheme="minorHAnsi"/>
        </w:rPr>
        <w:t xml:space="preserve"> impact</w:t>
      </w:r>
      <w:r w:rsidR="00D23459" w:rsidRPr="00860D42">
        <w:rPr>
          <w:rFonts w:cstheme="minorHAnsi"/>
        </w:rPr>
        <w:t xml:space="preserve"> </w:t>
      </w:r>
      <w:r w:rsidR="00160424" w:rsidRPr="00860D42">
        <w:rPr>
          <w:rFonts w:cstheme="minorHAnsi"/>
        </w:rPr>
        <w:t xml:space="preserve">files, CMS provided </w:t>
      </w:r>
      <w:r w:rsidR="00783EA9" w:rsidRPr="00860D42">
        <w:rPr>
          <w:rFonts w:cstheme="minorHAnsi"/>
        </w:rPr>
        <w:t xml:space="preserve">payment </w:t>
      </w:r>
      <w:r w:rsidR="00160424" w:rsidRPr="00860D42">
        <w:rPr>
          <w:rFonts w:cstheme="minorHAnsi"/>
        </w:rPr>
        <w:t xml:space="preserve">estimates </w:t>
      </w:r>
      <w:r w:rsidR="00783EA9" w:rsidRPr="00860D42">
        <w:rPr>
          <w:rFonts w:cstheme="minorHAnsi"/>
        </w:rPr>
        <w:t xml:space="preserve">which included </w:t>
      </w:r>
      <w:r w:rsidR="00160424" w:rsidRPr="00860D42">
        <w:rPr>
          <w:rFonts w:cstheme="minorHAnsi"/>
        </w:rPr>
        <w:t xml:space="preserve">case-level </w:t>
      </w:r>
      <w:r w:rsidR="005F2800" w:rsidRPr="00860D42">
        <w:rPr>
          <w:rFonts w:cstheme="minorHAnsi"/>
        </w:rPr>
        <w:t xml:space="preserve">estimated </w:t>
      </w:r>
      <w:r w:rsidR="00160424" w:rsidRPr="00860D42">
        <w:rPr>
          <w:rFonts w:cstheme="minorHAnsi"/>
        </w:rPr>
        <w:t xml:space="preserve">behavioral responses, </w:t>
      </w:r>
      <w:r w:rsidR="00783EA9" w:rsidRPr="00860D42">
        <w:rPr>
          <w:rFonts w:cstheme="minorHAnsi"/>
        </w:rPr>
        <w:t xml:space="preserve">as well as data </w:t>
      </w:r>
      <w:r w:rsidR="00357150">
        <w:rPr>
          <w:rFonts w:cstheme="minorHAnsi"/>
        </w:rPr>
        <w:t>appropriate</w:t>
      </w:r>
      <w:r w:rsidR="00357150" w:rsidRPr="00860D42">
        <w:rPr>
          <w:rFonts w:cstheme="minorHAnsi"/>
        </w:rPr>
        <w:t xml:space="preserve"> </w:t>
      </w:r>
      <w:r w:rsidR="00783EA9" w:rsidRPr="00860D42">
        <w:rPr>
          <w:rFonts w:cstheme="minorHAnsi"/>
        </w:rPr>
        <w:t>for reproducing PDGM payments without behavioral responses</w:t>
      </w:r>
      <w:r w:rsidR="00160424" w:rsidRPr="00860D42">
        <w:rPr>
          <w:rFonts w:cstheme="minorHAnsi"/>
        </w:rPr>
        <w:t xml:space="preserve">. </w:t>
      </w:r>
    </w:p>
    <w:p w14:paraId="5402669A" w14:textId="77777777" w:rsidR="00A15C2D" w:rsidRPr="00A15C2D" w:rsidRDefault="00850056" w:rsidP="00A15C2D">
      <w:pPr>
        <w:pStyle w:val="Heading2"/>
      </w:pPr>
      <w:bookmarkStart w:id="1" w:name="_Hlk48052825"/>
      <w:r>
        <w:t>Summary Findings</w:t>
      </w:r>
    </w:p>
    <w:p w14:paraId="7B270A18" w14:textId="77777777" w:rsidR="00513790" w:rsidRPr="00DE7E90" w:rsidRDefault="001217A2" w:rsidP="00DE7E90">
      <w:pPr>
        <w:ind w:right="0"/>
        <w:rPr>
          <w:rFonts w:cstheme="minorHAnsi"/>
        </w:rPr>
      </w:pPr>
      <w:r>
        <w:rPr>
          <w:rFonts w:cstheme="minorHAnsi"/>
        </w:rPr>
        <w:t xml:space="preserve">We find that the </w:t>
      </w:r>
      <w:r w:rsidR="00716F03">
        <w:rPr>
          <w:rFonts w:cstheme="minorHAnsi"/>
        </w:rPr>
        <w:t xml:space="preserve">CY2020 HH PPS so far appears to have been implemented at a below budget neutral level. Further, </w:t>
      </w:r>
      <w:r w:rsidRPr="001217A2">
        <w:rPr>
          <w:rFonts w:cstheme="minorHAnsi"/>
        </w:rPr>
        <w:t xml:space="preserve">anticipated behavioral changes, case shortfalls and </w:t>
      </w:r>
      <w:r>
        <w:rPr>
          <w:rFonts w:cstheme="minorHAnsi"/>
        </w:rPr>
        <w:t>volume reductions deviate from the trends CMS predicted in its initial projections</w:t>
      </w:r>
      <w:r w:rsidR="00716F03">
        <w:rPr>
          <w:rFonts w:cstheme="minorHAnsi"/>
        </w:rPr>
        <w:t xml:space="preserve">. </w:t>
      </w:r>
    </w:p>
    <w:p w14:paraId="23BB26FE" w14:textId="77777777" w:rsidR="00716F03" w:rsidRPr="00716F03" w:rsidRDefault="00DB2370" w:rsidP="00513790">
      <w:pPr>
        <w:pStyle w:val="ListParagraph"/>
        <w:numPr>
          <w:ilvl w:val="0"/>
          <w:numId w:val="8"/>
        </w:numPr>
        <w:rPr>
          <w:rFonts w:cstheme="minorHAnsi"/>
          <w:i/>
          <w:iCs/>
        </w:rPr>
      </w:pPr>
      <w:r w:rsidRPr="00716F03">
        <w:rPr>
          <w:rFonts w:cstheme="minorHAnsi"/>
          <w:i/>
          <w:iCs/>
        </w:rPr>
        <w:t>Budget Neutrality</w:t>
      </w:r>
      <w:r w:rsidR="00716F03">
        <w:rPr>
          <w:rFonts w:cstheme="minorHAnsi"/>
          <w:i/>
          <w:iCs/>
        </w:rPr>
        <w:t>:</w:t>
      </w:r>
      <w:r w:rsidR="00513790" w:rsidRPr="00513790">
        <w:t xml:space="preserve"> </w:t>
      </w:r>
      <w:r w:rsidR="00513790">
        <w:t xml:space="preserve">PDGM does not appear to be budget neutral compared to prior years measured either by average or total aggregate payments. </w:t>
      </w:r>
    </w:p>
    <w:p w14:paraId="5DD3A3E1" w14:textId="1DDC678F" w:rsidR="00716F03" w:rsidRPr="00716F03" w:rsidRDefault="00513790" w:rsidP="00716F03">
      <w:pPr>
        <w:pStyle w:val="ListParagraph"/>
        <w:numPr>
          <w:ilvl w:val="1"/>
          <w:numId w:val="8"/>
        </w:numPr>
        <w:rPr>
          <w:rFonts w:cstheme="minorHAnsi"/>
          <w:i/>
          <w:iCs/>
        </w:rPr>
      </w:pPr>
      <w:r>
        <w:t xml:space="preserve">Over the first </w:t>
      </w:r>
      <w:r w:rsidR="00AB2883">
        <w:t xml:space="preserve">six </w:t>
      </w:r>
      <w:r>
        <w:t>months of PDGM implementation</w:t>
      </w:r>
      <w:r w:rsidR="0093284D">
        <w:t>,</w:t>
      </w:r>
      <w:r>
        <w:t xml:space="preserve"> </w:t>
      </w:r>
      <w:r w:rsidR="008E12FF">
        <w:t xml:space="preserve">observed </w:t>
      </w:r>
      <w:r>
        <w:t xml:space="preserve">average case payments were </w:t>
      </w:r>
      <w:r w:rsidR="00642825">
        <w:t>4.9-</w:t>
      </w:r>
      <w:r w:rsidR="00AB2883">
        <w:t>5.2</w:t>
      </w:r>
      <w:r>
        <w:t>% lower than projected (average case payment of $</w:t>
      </w:r>
      <w:r w:rsidR="00AB2883">
        <w:t>1,718</w:t>
      </w:r>
      <w:r w:rsidR="00642825">
        <w:t>-1,723</w:t>
      </w:r>
      <w:r>
        <w:t xml:space="preserve"> January-</w:t>
      </w:r>
      <w:r w:rsidR="00642825">
        <w:t xml:space="preserve">June </w:t>
      </w:r>
      <w:r>
        <w:t xml:space="preserve">2020 </w:t>
      </w:r>
      <w:r w:rsidR="00642825">
        <w:t xml:space="preserve">(depending on January adjustment approach) </w:t>
      </w:r>
      <w:r>
        <w:t>compared to projected $1,81</w:t>
      </w:r>
      <w:r w:rsidR="007E6C91">
        <w:t>2</w:t>
      </w:r>
      <w:r>
        <w:t xml:space="preserve"> from January-</w:t>
      </w:r>
      <w:r w:rsidR="007E6C91">
        <w:t xml:space="preserve">June </w:t>
      </w:r>
      <w:r>
        <w:t xml:space="preserve">of the FY2020 </w:t>
      </w:r>
      <w:r w:rsidR="00374572">
        <w:t xml:space="preserve">FR </w:t>
      </w:r>
      <w:r>
        <w:t xml:space="preserve">file). </w:t>
      </w:r>
    </w:p>
    <w:p w14:paraId="1B42E521" w14:textId="55595320" w:rsidR="00716F03" w:rsidRPr="00716F03" w:rsidRDefault="00513790" w:rsidP="00716F03">
      <w:pPr>
        <w:pStyle w:val="ListParagraph"/>
        <w:numPr>
          <w:ilvl w:val="1"/>
          <w:numId w:val="8"/>
        </w:numPr>
        <w:rPr>
          <w:rFonts w:cstheme="minorHAnsi"/>
          <w:i/>
          <w:iCs/>
        </w:rPr>
      </w:pPr>
      <w:r>
        <w:t>A</w:t>
      </w:r>
      <w:r w:rsidR="00765FE9">
        <w:t>fter a</w:t>
      </w:r>
      <w:r>
        <w:t xml:space="preserve">ccounting for case-volume reductions, total aggregate payments are about </w:t>
      </w:r>
      <w:r w:rsidR="00192DA2">
        <w:t>12.5-</w:t>
      </w:r>
      <w:r w:rsidR="007E6C91">
        <w:t>18.3</w:t>
      </w:r>
      <w:r>
        <w:t>% lower than projected ($</w:t>
      </w:r>
      <w:r w:rsidR="007E6C91">
        <w:t>7.1</w:t>
      </w:r>
      <w:r w:rsidR="00192DA2">
        <w:t>-7.6</w:t>
      </w:r>
      <w:r>
        <w:t xml:space="preserve">B observed </w:t>
      </w:r>
      <w:r w:rsidR="00192DA2">
        <w:t xml:space="preserve">(depending on adjustment approach) </w:t>
      </w:r>
      <w:r>
        <w:t>compared to $</w:t>
      </w:r>
      <w:r w:rsidR="007E6C91">
        <w:t>8.6</w:t>
      </w:r>
      <w:r>
        <w:t xml:space="preserve">B expected for the period). </w:t>
      </w:r>
    </w:p>
    <w:p w14:paraId="705CD629" w14:textId="72116A57" w:rsidR="00513790" w:rsidRPr="008907E7" w:rsidRDefault="00513790" w:rsidP="008907E7">
      <w:pPr>
        <w:pStyle w:val="ListParagraph"/>
        <w:numPr>
          <w:ilvl w:val="1"/>
          <w:numId w:val="8"/>
        </w:numPr>
        <w:spacing w:after="0"/>
        <w:rPr>
          <w:rFonts w:cstheme="minorHAnsi"/>
          <w:i/>
          <w:iCs/>
        </w:rPr>
      </w:pPr>
      <w:r>
        <w:lastRenderedPageBreak/>
        <w:t xml:space="preserve">We are confident that findings are </w:t>
      </w:r>
      <w:r w:rsidR="00357150">
        <w:t xml:space="preserve">robust </w:t>
      </w:r>
      <w:r w:rsidR="008907E7">
        <w:t xml:space="preserve">with </w:t>
      </w:r>
      <w:r>
        <w:t xml:space="preserve">over </w:t>
      </w:r>
      <w:r w:rsidR="007E6C91">
        <w:t>4.1</w:t>
      </w:r>
      <w:r>
        <w:t>M home health episodes during the period. We anticipate further changes as providers continue to adapt to PDGM and navigate the unfolding COVID-19 PHE, however</w:t>
      </w:r>
      <w:r w:rsidR="00357150">
        <w:t>,</w:t>
      </w:r>
      <w:r>
        <w:t xml:space="preserve"> preliminary data provides evidence that corrective action may be warranted to appropriately pay home health providers in CY2021. </w:t>
      </w:r>
    </w:p>
    <w:p w14:paraId="0B305B62" w14:textId="77777777" w:rsidR="0093284D" w:rsidRPr="008907E7" w:rsidRDefault="0093284D" w:rsidP="008907E7">
      <w:pPr>
        <w:spacing w:after="0"/>
        <w:ind w:left="1080"/>
        <w:rPr>
          <w:rFonts w:cstheme="minorHAnsi"/>
          <w:i/>
          <w:iCs/>
        </w:rPr>
      </w:pPr>
    </w:p>
    <w:p w14:paraId="3490E56C" w14:textId="30D45F7F" w:rsidR="00DD51BF" w:rsidRPr="00513790" w:rsidRDefault="00DD51BF" w:rsidP="008907E7">
      <w:pPr>
        <w:pStyle w:val="ListParagraph"/>
        <w:numPr>
          <w:ilvl w:val="0"/>
          <w:numId w:val="8"/>
        </w:numPr>
        <w:spacing w:after="0"/>
        <w:rPr>
          <w:rFonts w:cstheme="minorHAnsi"/>
          <w:i/>
          <w:iCs/>
        </w:rPr>
      </w:pPr>
      <w:r w:rsidRPr="00513790">
        <w:rPr>
          <w:rFonts w:cstheme="minorHAnsi"/>
          <w:i/>
          <w:iCs/>
        </w:rPr>
        <w:t xml:space="preserve">Case </w:t>
      </w:r>
      <w:r w:rsidR="00DB2370" w:rsidRPr="00513790">
        <w:rPr>
          <w:rFonts w:cstheme="minorHAnsi"/>
          <w:i/>
          <w:iCs/>
        </w:rPr>
        <w:t xml:space="preserve">Volume </w:t>
      </w:r>
      <w:r w:rsidRPr="00513790">
        <w:rPr>
          <w:rFonts w:cstheme="minorHAnsi"/>
          <w:i/>
          <w:iCs/>
        </w:rPr>
        <w:t xml:space="preserve">Shortfall: </w:t>
      </w:r>
      <w:r w:rsidRPr="00513790">
        <w:rPr>
          <w:rFonts w:cstheme="minorHAnsi"/>
        </w:rPr>
        <w:t>We</w:t>
      </w:r>
      <w:r w:rsidR="00DE7E90" w:rsidRPr="00513790">
        <w:rPr>
          <w:rFonts w:cstheme="minorHAnsi"/>
        </w:rPr>
        <w:t xml:space="preserve"> find</w:t>
      </w:r>
      <w:r w:rsidRPr="00513790">
        <w:rPr>
          <w:rFonts w:cstheme="minorHAnsi"/>
        </w:rPr>
        <w:t xml:space="preserve"> </w:t>
      </w:r>
      <w:r w:rsidR="00850056">
        <w:t xml:space="preserve">a </w:t>
      </w:r>
      <w:r w:rsidR="00192DA2">
        <w:t>8.0-</w:t>
      </w:r>
      <w:r w:rsidR="007E6C91">
        <w:t>13.9</w:t>
      </w:r>
      <w:r w:rsidR="00850056">
        <w:t xml:space="preserve">% </w:t>
      </w:r>
      <w:r w:rsidR="00DE7E90">
        <w:t xml:space="preserve">reduction in home health </w:t>
      </w:r>
      <w:r w:rsidR="00850056">
        <w:t xml:space="preserve">episode </w:t>
      </w:r>
      <w:r w:rsidR="00DE7E90">
        <w:t>volume</w:t>
      </w:r>
      <w:r w:rsidR="00850056">
        <w:t xml:space="preserve"> from PDGM and the COVID-19 PHE January-</w:t>
      </w:r>
      <w:r w:rsidR="00642825">
        <w:t xml:space="preserve">June </w:t>
      </w:r>
      <w:r w:rsidR="00850056">
        <w:t>2020</w:t>
      </w:r>
      <w:r w:rsidR="00ED3081">
        <w:t xml:space="preserve"> compared to the rate-setting file</w:t>
      </w:r>
      <w:r w:rsidR="00192DA2">
        <w:t xml:space="preserve"> (depending on adjustment method)</w:t>
      </w:r>
      <w:r w:rsidRPr="00513790">
        <w:rPr>
          <w:rFonts w:cstheme="minorHAnsi"/>
        </w:rPr>
        <w:t xml:space="preserve">: </w:t>
      </w:r>
    </w:p>
    <w:p w14:paraId="35BE23E5" w14:textId="77EA677C" w:rsidR="00DD51BF" w:rsidRPr="00716F03" w:rsidRDefault="00DD51BF" w:rsidP="00513790">
      <w:pPr>
        <w:pStyle w:val="ListParagraph"/>
        <w:numPr>
          <w:ilvl w:val="1"/>
          <w:numId w:val="8"/>
        </w:numPr>
        <w:rPr>
          <w:rFonts w:cstheme="minorHAnsi"/>
          <w:i/>
          <w:iCs/>
        </w:rPr>
      </w:pPr>
      <w:r w:rsidRPr="00860D42">
        <w:rPr>
          <w:rFonts w:cstheme="minorHAnsi"/>
        </w:rPr>
        <w:t xml:space="preserve">PDGM case </w:t>
      </w:r>
      <w:r w:rsidR="00850056">
        <w:rPr>
          <w:rFonts w:cstheme="minorHAnsi"/>
        </w:rPr>
        <w:t>utilization</w:t>
      </w:r>
      <w:r w:rsidR="00850056" w:rsidRPr="00860D42">
        <w:rPr>
          <w:rFonts w:cstheme="minorHAnsi"/>
        </w:rPr>
        <w:t xml:space="preserve"> </w:t>
      </w:r>
      <w:r w:rsidRPr="00860D42">
        <w:rPr>
          <w:rFonts w:cstheme="minorHAnsi"/>
        </w:rPr>
        <w:t xml:space="preserve">decreased </w:t>
      </w:r>
      <w:r w:rsidR="00DE7E90">
        <w:rPr>
          <w:rFonts w:cstheme="minorHAnsi"/>
        </w:rPr>
        <w:t>due to the</w:t>
      </w:r>
      <w:r w:rsidRPr="00860D42">
        <w:rPr>
          <w:rFonts w:cstheme="minorHAnsi"/>
        </w:rPr>
        <w:t xml:space="preserve"> shift from 60-day episodes to 30-day </w:t>
      </w:r>
      <w:r w:rsidR="00DB7DFC">
        <w:rPr>
          <w:rFonts w:cstheme="minorHAnsi"/>
        </w:rPr>
        <w:t>cases</w:t>
      </w:r>
      <w:r w:rsidR="00DB7DFC" w:rsidRPr="00860D42">
        <w:rPr>
          <w:rFonts w:cstheme="minorHAnsi"/>
        </w:rPr>
        <w:t xml:space="preserve"> </w:t>
      </w:r>
      <w:r w:rsidRPr="00860D42">
        <w:rPr>
          <w:rFonts w:cstheme="minorHAnsi"/>
        </w:rPr>
        <w:t xml:space="preserve">and the timing of visits within an episode of care. </w:t>
      </w:r>
    </w:p>
    <w:p w14:paraId="5A73E2DA" w14:textId="6B475176" w:rsidR="00716F03" w:rsidRPr="004B18BB" w:rsidRDefault="00716F03" w:rsidP="00716F03">
      <w:pPr>
        <w:pStyle w:val="ListParagraph"/>
        <w:numPr>
          <w:ilvl w:val="2"/>
          <w:numId w:val="8"/>
        </w:numPr>
        <w:rPr>
          <w:rFonts w:cstheme="minorHAnsi"/>
          <w:i/>
          <w:iCs/>
        </w:rPr>
      </w:pPr>
      <w:r>
        <w:rPr>
          <w:rFonts w:cstheme="minorHAnsi"/>
        </w:rPr>
        <w:t>Projections used in rate-setting also had</w:t>
      </w:r>
      <w:r w:rsidR="00ED3081">
        <w:rPr>
          <w:rFonts w:cstheme="minorHAnsi"/>
        </w:rPr>
        <w:t xml:space="preserve"> inherently</w:t>
      </w:r>
      <w:r>
        <w:rPr>
          <w:rFonts w:cstheme="minorHAnsi"/>
        </w:rPr>
        <w:t xml:space="preserve"> reduced volume due to data cleaning procedures which removed paid cases; the comparison to historical projections </w:t>
      </w:r>
      <w:r w:rsidR="00ED3081">
        <w:rPr>
          <w:rFonts w:cstheme="minorHAnsi"/>
        </w:rPr>
        <w:t>does</w:t>
      </w:r>
      <w:r>
        <w:rPr>
          <w:rFonts w:cstheme="minorHAnsi"/>
        </w:rPr>
        <w:t xml:space="preserve"> not fully capture the </w:t>
      </w:r>
      <w:r w:rsidR="00ED3081">
        <w:rPr>
          <w:rFonts w:cstheme="minorHAnsi"/>
        </w:rPr>
        <w:t xml:space="preserve">complete decline in </w:t>
      </w:r>
      <w:r>
        <w:rPr>
          <w:rFonts w:cstheme="minorHAnsi"/>
        </w:rPr>
        <w:t>case volume</w:t>
      </w:r>
      <w:r w:rsidR="00957A17">
        <w:rPr>
          <w:rFonts w:cstheme="minorHAnsi"/>
        </w:rPr>
        <w:t xml:space="preserve"> and potentially leads to an underestimate of the shortfall</w:t>
      </w:r>
      <w:r>
        <w:rPr>
          <w:rFonts w:cstheme="minorHAnsi"/>
        </w:rPr>
        <w:t>.</w:t>
      </w:r>
    </w:p>
    <w:p w14:paraId="7473EA36" w14:textId="5D55C1F8" w:rsidR="007E6C91" w:rsidRPr="00DE7E90" w:rsidRDefault="007E6C91" w:rsidP="008907E7">
      <w:pPr>
        <w:pStyle w:val="ListParagraph"/>
        <w:numPr>
          <w:ilvl w:val="2"/>
          <w:numId w:val="8"/>
        </w:numPr>
        <w:spacing w:after="0"/>
        <w:rPr>
          <w:rFonts w:cstheme="minorHAnsi"/>
          <w:i/>
          <w:iCs/>
        </w:rPr>
      </w:pPr>
      <w:r>
        <w:rPr>
          <w:rFonts w:cstheme="minorHAnsi"/>
        </w:rPr>
        <w:t>We also find that each 60 day home health period translates to 1.25 30-day PDGM periods on average, lower than the rate anticipated by CMS (1.76).</w:t>
      </w:r>
    </w:p>
    <w:p w14:paraId="2AD2BD28" w14:textId="4FE2ECE1" w:rsidR="00850056" w:rsidRPr="006866DD" w:rsidRDefault="00855526" w:rsidP="008907E7">
      <w:pPr>
        <w:pStyle w:val="ListParagraph"/>
        <w:numPr>
          <w:ilvl w:val="1"/>
          <w:numId w:val="8"/>
        </w:numPr>
        <w:spacing w:after="0"/>
        <w:rPr>
          <w:rFonts w:cstheme="minorHAnsi"/>
          <w:i/>
          <w:iCs/>
        </w:rPr>
      </w:pPr>
      <w:r>
        <w:rPr>
          <w:rFonts w:cstheme="minorHAnsi"/>
        </w:rPr>
        <w:t>A</w:t>
      </w:r>
      <w:r w:rsidR="00DD51BF" w:rsidRPr="00860D42">
        <w:rPr>
          <w:rFonts w:cstheme="minorHAnsi"/>
        </w:rPr>
        <w:t xml:space="preserve">dditionally, the decline in home health volumes can be </w:t>
      </w:r>
      <w:r w:rsidR="00E379A1">
        <w:rPr>
          <w:rFonts w:cstheme="minorHAnsi"/>
        </w:rPr>
        <w:t xml:space="preserve">largely </w:t>
      </w:r>
      <w:r w:rsidR="00DD51BF" w:rsidRPr="00860D42">
        <w:rPr>
          <w:rFonts w:cstheme="minorHAnsi"/>
        </w:rPr>
        <w:t xml:space="preserve">attributed to the COVID-19 </w:t>
      </w:r>
      <w:r w:rsidR="00ED3081">
        <w:rPr>
          <w:rFonts w:cstheme="minorHAnsi"/>
        </w:rPr>
        <w:t>PHE</w:t>
      </w:r>
      <w:r w:rsidR="00DD51BF" w:rsidRPr="00860D42">
        <w:rPr>
          <w:rFonts w:cstheme="minorHAnsi"/>
        </w:rPr>
        <w:t xml:space="preserve"> as states </w:t>
      </w:r>
      <w:r w:rsidR="00E379A1">
        <w:rPr>
          <w:rFonts w:cstheme="minorHAnsi"/>
        </w:rPr>
        <w:t xml:space="preserve">enacted restrictions </w:t>
      </w:r>
      <w:r w:rsidR="00E379A1" w:rsidRPr="00860D42">
        <w:rPr>
          <w:rFonts w:cstheme="minorHAnsi"/>
        </w:rPr>
        <w:t>to</w:t>
      </w:r>
      <w:r w:rsidR="00DD51BF" w:rsidRPr="00860D42">
        <w:rPr>
          <w:rFonts w:cstheme="minorHAnsi"/>
        </w:rPr>
        <w:t xml:space="preserve"> control the spread of the</w:t>
      </w:r>
      <w:r w:rsidR="00E379A1">
        <w:rPr>
          <w:rFonts w:cstheme="minorHAnsi"/>
        </w:rPr>
        <w:t xml:space="preserve"> virus. These policy actions enacted </w:t>
      </w:r>
      <w:r w:rsidR="00DD51BF" w:rsidRPr="00860D42">
        <w:rPr>
          <w:rFonts w:cstheme="minorHAnsi"/>
        </w:rPr>
        <w:t xml:space="preserve">mandated lockdowns </w:t>
      </w:r>
      <w:r w:rsidR="00ED3081">
        <w:rPr>
          <w:rFonts w:cstheme="minorHAnsi"/>
        </w:rPr>
        <w:t xml:space="preserve">that </w:t>
      </w:r>
      <w:r w:rsidR="00DD51BF" w:rsidRPr="00860D42">
        <w:rPr>
          <w:rFonts w:cstheme="minorHAnsi"/>
        </w:rPr>
        <w:t xml:space="preserve">halted elective </w:t>
      </w:r>
      <w:r w:rsidR="00ED3081">
        <w:rPr>
          <w:rFonts w:cstheme="minorHAnsi"/>
        </w:rPr>
        <w:t xml:space="preserve">procedures, delayed other procedures, </w:t>
      </w:r>
      <w:r w:rsidR="00DD51BF" w:rsidRPr="00860D42">
        <w:rPr>
          <w:rFonts w:cstheme="minorHAnsi"/>
        </w:rPr>
        <w:t xml:space="preserve">and </w:t>
      </w:r>
      <w:r w:rsidR="00DD51BF">
        <w:rPr>
          <w:rFonts w:cstheme="minorHAnsi"/>
        </w:rPr>
        <w:t>did not</w:t>
      </w:r>
      <w:r w:rsidR="00DD51BF" w:rsidRPr="00860D42">
        <w:rPr>
          <w:rFonts w:cstheme="minorHAnsi"/>
        </w:rPr>
        <w:t xml:space="preserve"> designate therapists as essential workers during </w:t>
      </w:r>
      <w:r w:rsidR="00DD51BF" w:rsidRPr="00E960BE">
        <w:rPr>
          <w:rFonts w:cstheme="minorHAnsi"/>
        </w:rPr>
        <w:t>the initial onset of the pandemic</w:t>
      </w:r>
      <w:r w:rsidR="00716F03">
        <w:rPr>
          <w:rFonts w:cstheme="minorHAnsi"/>
        </w:rPr>
        <w:t xml:space="preserve">. Patients were and remain wary of allowing healthcare workers into their homes </w:t>
      </w:r>
      <w:r w:rsidR="00ED3081">
        <w:rPr>
          <w:rFonts w:cstheme="minorHAnsi"/>
        </w:rPr>
        <w:t xml:space="preserve">to some extent </w:t>
      </w:r>
      <w:r w:rsidR="00716F03">
        <w:rPr>
          <w:rFonts w:cstheme="minorHAnsi"/>
        </w:rPr>
        <w:t xml:space="preserve">during the pandemic. </w:t>
      </w:r>
    </w:p>
    <w:p w14:paraId="71AF79F3" w14:textId="62F1594D" w:rsidR="00DD51BF" w:rsidRPr="00DD51BF" w:rsidRDefault="00850056" w:rsidP="008907E7">
      <w:pPr>
        <w:pStyle w:val="ListParagraph"/>
        <w:numPr>
          <w:ilvl w:val="2"/>
          <w:numId w:val="8"/>
        </w:numPr>
        <w:spacing w:after="0"/>
        <w:rPr>
          <w:rFonts w:cstheme="minorHAnsi"/>
          <w:i/>
          <w:iCs/>
        </w:rPr>
      </w:pPr>
      <w:r>
        <w:rPr>
          <w:rFonts w:cstheme="minorHAnsi"/>
        </w:rPr>
        <w:t xml:space="preserve">Some portion of home health visits </w:t>
      </w:r>
      <w:r w:rsidR="00855526">
        <w:rPr>
          <w:rFonts w:cstheme="minorHAnsi"/>
        </w:rPr>
        <w:t xml:space="preserve">was </w:t>
      </w:r>
      <w:r>
        <w:rPr>
          <w:rFonts w:cstheme="minorHAnsi"/>
        </w:rPr>
        <w:t>shifted to telehealth during this time however</w:t>
      </w:r>
      <w:r w:rsidR="00547B8D">
        <w:rPr>
          <w:rFonts w:cstheme="minorHAnsi"/>
        </w:rPr>
        <w:t xml:space="preserve">, </w:t>
      </w:r>
      <w:r>
        <w:rPr>
          <w:rFonts w:cstheme="minorHAnsi"/>
        </w:rPr>
        <w:t xml:space="preserve">this </w:t>
      </w:r>
      <w:r w:rsidR="00855526">
        <w:rPr>
          <w:rFonts w:cstheme="minorHAnsi"/>
        </w:rPr>
        <w:t xml:space="preserve">shift </w:t>
      </w:r>
      <w:r>
        <w:rPr>
          <w:rFonts w:cstheme="minorHAnsi"/>
        </w:rPr>
        <w:t>is not captured in the claim</w:t>
      </w:r>
      <w:r w:rsidR="00243AB4">
        <w:rPr>
          <w:rFonts w:cstheme="minorHAnsi"/>
        </w:rPr>
        <w:t>s data, per CMS pandemic flexibilities guidance</w:t>
      </w:r>
      <w:r>
        <w:rPr>
          <w:rFonts w:cstheme="minorHAnsi"/>
        </w:rPr>
        <w:t>.</w:t>
      </w:r>
      <w:r w:rsidR="00243AB4">
        <w:rPr>
          <w:rStyle w:val="FootnoteReference"/>
          <w:rFonts w:cstheme="minorHAnsi"/>
        </w:rPr>
        <w:footnoteReference w:id="2"/>
      </w:r>
      <w:r>
        <w:rPr>
          <w:rFonts w:cstheme="minorHAnsi"/>
        </w:rPr>
        <w:t xml:space="preserve"> </w:t>
      </w:r>
      <w:r w:rsidR="00547B8D">
        <w:rPr>
          <w:rFonts w:cstheme="minorHAnsi"/>
        </w:rPr>
        <w:t xml:space="preserve">HHAs </w:t>
      </w:r>
      <w:r w:rsidR="00547B8D" w:rsidRPr="00547B8D">
        <w:rPr>
          <w:rFonts w:cstheme="minorHAnsi"/>
        </w:rPr>
        <w:t>can</w:t>
      </w:r>
      <w:r w:rsidR="00547B8D">
        <w:rPr>
          <w:rFonts w:cstheme="minorHAnsi"/>
        </w:rPr>
        <w:t xml:space="preserve"> </w:t>
      </w:r>
      <w:r w:rsidR="00547B8D" w:rsidRPr="00547B8D">
        <w:rPr>
          <w:rFonts w:cstheme="minorHAnsi"/>
        </w:rPr>
        <w:t xml:space="preserve">report costs of </w:t>
      </w:r>
      <w:r w:rsidR="00BC2FD9">
        <w:rPr>
          <w:rFonts w:cstheme="minorHAnsi"/>
        </w:rPr>
        <w:t>telehealth</w:t>
      </w:r>
      <w:r w:rsidR="00547B8D" w:rsidRPr="00547B8D">
        <w:rPr>
          <w:rFonts w:cstheme="minorHAnsi"/>
        </w:rPr>
        <w:t xml:space="preserve"> on the HHA cost report</w:t>
      </w:r>
      <w:r w:rsidR="00EF1FC8">
        <w:rPr>
          <w:rFonts w:cstheme="minorHAnsi"/>
        </w:rPr>
        <w:t xml:space="preserve">, </w:t>
      </w:r>
      <w:r w:rsidR="000C7103">
        <w:rPr>
          <w:rFonts w:cstheme="minorHAnsi"/>
        </w:rPr>
        <w:t xml:space="preserve">but </w:t>
      </w:r>
      <w:r w:rsidR="00957A17">
        <w:rPr>
          <w:rFonts w:cstheme="minorHAnsi"/>
        </w:rPr>
        <w:t>not completely</w:t>
      </w:r>
      <w:r w:rsidR="00547B8D">
        <w:rPr>
          <w:rFonts w:cstheme="minorHAnsi"/>
        </w:rPr>
        <w:t>.</w:t>
      </w:r>
      <w:r>
        <w:rPr>
          <w:rFonts w:cstheme="minorHAnsi"/>
        </w:rPr>
        <w:t xml:space="preserve"> Lack of data on telehealth services has implications for future HH PPS rate-setting and rebasing.</w:t>
      </w:r>
    </w:p>
    <w:p w14:paraId="0803093E" w14:textId="77777777" w:rsidR="00855526" w:rsidRPr="008907E7" w:rsidRDefault="00855526" w:rsidP="008907E7">
      <w:pPr>
        <w:spacing w:after="0"/>
        <w:ind w:left="360"/>
        <w:rPr>
          <w:rFonts w:cstheme="minorHAnsi"/>
          <w:i/>
          <w:iCs/>
        </w:rPr>
      </w:pPr>
    </w:p>
    <w:p w14:paraId="73E657FC" w14:textId="734A3F79" w:rsidR="00580F04" w:rsidRPr="00860D42" w:rsidRDefault="00EC5A40" w:rsidP="008907E7">
      <w:pPr>
        <w:pStyle w:val="ListParagraph"/>
        <w:numPr>
          <w:ilvl w:val="0"/>
          <w:numId w:val="8"/>
        </w:numPr>
        <w:spacing w:after="0"/>
        <w:rPr>
          <w:rFonts w:cstheme="minorHAnsi"/>
          <w:i/>
          <w:iCs/>
        </w:rPr>
      </w:pPr>
      <w:r w:rsidRPr="00860D42">
        <w:rPr>
          <w:rFonts w:cstheme="minorHAnsi"/>
          <w:i/>
          <w:iCs/>
        </w:rPr>
        <w:t xml:space="preserve">Behavioral </w:t>
      </w:r>
      <w:r w:rsidRPr="00860D42">
        <w:rPr>
          <w:rFonts w:cstheme="minorHAnsi"/>
          <w:i/>
          <w:iCs/>
          <w:spacing w:val="-2"/>
          <w:kern w:val="22"/>
        </w:rPr>
        <w:t>Assumptions</w:t>
      </w:r>
      <w:r w:rsidRPr="00860D42">
        <w:rPr>
          <w:rFonts w:cstheme="minorHAnsi"/>
          <w:spacing w:val="-2"/>
          <w:kern w:val="22"/>
        </w:rPr>
        <w:t xml:space="preserve">: </w:t>
      </w:r>
      <w:r w:rsidR="0046319F">
        <w:rPr>
          <w:rFonts w:cstheme="minorHAnsi"/>
          <w:spacing w:val="-2"/>
          <w:kern w:val="22"/>
        </w:rPr>
        <w:t>In HH PPS rulemaking,</w:t>
      </w:r>
      <w:r w:rsidR="00580F04" w:rsidRPr="00860D42">
        <w:rPr>
          <w:rFonts w:cstheme="minorHAnsi"/>
          <w:spacing w:val="-2"/>
          <w:kern w:val="22"/>
        </w:rPr>
        <w:t xml:space="preserve"> </w:t>
      </w:r>
      <w:r w:rsidR="0046319F">
        <w:rPr>
          <w:rFonts w:cstheme="minorHAnsi"/>
          <w:spacing w:val="-2"/>
          <w:kern w:val="22"/>
        </w:rPr>
        <w:t>CMS assumed</w:t>
      </w:r>
      <w:r w:rsidR="00580F04" w:rsidRPr="00860D42">
        <w:rPr>
          <w:rFonts w:cstheme="minorHAnsi"/>
          <w:spacing w:val="-2"/>
          <w:kern w:val="22"/>
        </w:rPr>
        <w:t xml:space="preserve"> that agencies would automatically </w:t>
      </w:r>
      <w:r w:rsidR="0046319F">
        <w:rPr>
          <w:rFonts w:cstheme="minorHAnsi"/>
          <w:spacing w:val="-2"/>
          <w:kern w:val="22"/>
        </w:rPr>
        <w:t xml:space="preserve">and instantaneously </w:t>
      </w:r>
      <w:r w:rsidR="00580F04" w:rsidRPr="00860D42">
        <w:rPr>
          <w:rFonts w:cstheme="minorHAnsi"/>
          <w:spacing w:val="-2"/>
          <w:kern w:val="22"/>
        </w:rPr>
        <w:t xml:space="preserve">change their coding and visit </w:t>
      </w:r>
      <w:r w:rsidR="00E379A1">
        <w:rPr>
          <w:rFonts w:cstheme="minorHAnsi"/>
          <w:spacing w:val="-2"/>
          <w:kern w:val="22"/>
        </w:rPr>
        <w:t xml:space="preserve">allocation </w:t>
      </w:r>
      <w:r w:rsidR="00580F04" w:rsidRPr="00860D42">
        <w:rPr>
          <w:rFonts w:cstheme="minorHAnsi"/>
          <w:spacing w:val="-2"/>
          <w:kern w:val="22"/>
        </w:rPr>
        <w:t xml:space="preserve">behavior to maximize reimbursement under the </w:t>
      </w:r>
      <w:r w:rsidR="00716F03">
        <w:rPr>
          <w:rFonts w:cstheme="minorHAnsi"/>
          <w:spacing w:val="-2"/>
          <w:kern w:val="22"/>
        </w:rPr>
        <w:t>novel payment system</w:t>
      </w:r>
      <w:r w:rsidR="00580F04" w:rsidRPr="00860D42">
        <w:rPr>
          <w:rFonts w:cstheme="minorHAnsi"/>
          <w:spacing w:val="-2"/>
          <w:kern w:val="22"/>
        </w:rPr>
        <w:t xml:space="preserve">. </w:t>
      </w:r>
      <w:r w:rsidR="00580F04" w:rsidRPr="00860D42">
        <w:rPr>
          <w:rFonts w:cstheme="minorHAnsi"/>
        </w:rPr>
        <w:t xml:space="preserve">Our results show that home health </w:t>
      </w:r>
      <w:r w:rsidR="0046319F">
        <w:rPr>
          <w:rFonts w:cstheme="minorHAnsi"/>
        </w:rPr>
        <w:t>agencies</w:t>
      </w:r>
      <w:r w:rsidR="0046319F" w:rsidRPr="00860D42">
        <w:rPr>
          <w:rFonts w:cstheme="minorHAnsi"/>
        </w:rPr>
        <w:t xml:space="preserve"> </w:t>
      </w:r>
      <w:r w:rsidRPr="00860D42">
        <w:rPr>
          <w:rFonts w:cstheme="minorHAnsi"/>
        </w:rPr>
        <w:t xml:space="preserve">thus far </w:t>
      </w:r>
      <w:r w:rsidR="004A2DF2">
        <w:rPr>
          <w:rFonts w:cstheme="minorHAnsi"/>
        </w:rPr>
        <w:t>have</w:t>
      </w:r>
      <w:r w:rsidR="004A2DF2" w:rsidRPr="00860D42">
        <w:rPr>
          <w:rFonts w:cstheme="minorHAnsi"/>
        </w:rPr>
        <w:t xml:space="preserve"> </w:t>
      </w:r>
      <w:r w:rsidRPr="00860D42">
        <w:rPr>
          <w:rFonts w:cstheme="minorHAnsi"/>
        </w:rPr>
        <w:t xml:space="preserve">not </w:t>
      </w:r>
      <w:r w:rsidR="0046319F">
        <w:rPr>
          <w:rFonts w:cstheme="minorHAnsi"/>
        </w:rPr>
        <w:t xml:space="preserve"> </w:t>
      </w:r>
      <w:r w:rsidRPr="00860D42">
        <w:rPr>
          <w:rFonts w:cstheme="minorHAnsi"/>
        </w:rPr>
        <w:t xml:space="preserve">followed </w:t>
      </w:r>
      <w:r w:rsidR="00855526">
        <w:rPr>
          <w:rFonts w:cstheme="minorHAnsi"/>
        </w:rPr>
        <w:t xml:space="preserve">this </w:t>
      </w:r>
      <w:r w:rsidRPr="00860D42">
        <w:rPr>
          <w:rFonts w:cstheme="minorHAnsi"/>
        </w:rPr>
        <w:t>behavioral assumption described by CMS in the CY2020 HH PPS final rule to justify the prospective base rate reduction</w:t>
      </w:r>
      <w:r w:rsidR="00D23459">
        <w:rPr>
          <w:rFonts w:cstheme="minorHAnsi"/>
        </w:rPr>
        <w:t xml:space="preserve"> of 4.3</w:t>
      </w:r>
      <w:r w:rsidR="0046319F">
        <w:rPr>
          <w:rFonts w:cstheme="minorHAnsi"/>
        </w:rPr>
        <w:t>6</w:t>
      </w:r>
      <w:r w:rsidR="00D23459">
        <w:rPr>
          <w:rFonts w:cstheme="minorHAnsi"/>
        </w:rPr>
        <w:t>%</w:t>
      </w:r>
      <w:r w:rsidRPr="00860D42">
        <w:rPr>
          <w:rFonts w:cstheme="minorHAnsi"/>
        </w:rPr>
        <w:t xml:space="preserve">. </w:t>
      </w:r>
    </w:p>
    <w:p w14:paraId="66CA505C" w14:textId="107DA9F1" w:rsidR="00EC5A40" w:rsidRPr="00860D42" w:rsidRDefault="00E379A1" w:rsidP="00513790">
      <w:pPr>
        <w:pStyle w:val="ListParagraph"/>
        <w:numPr>
          <w:ilvl w:val="1"/>
          <w:numId w:val="8"/>
        </w:numPr>
        <w:rPr>
          <w:rFonts w:cstheme="minorHAnsi"/>
          <w:i/>
          <w:iCs/>
        </w:rPr>
      </w:pPr>
      <w:r>
        <w:rPr>
          <w:rFonts w:cstheme="minorHAnsi"/>
          <w:i/>
          <w:iCs/>
        </w:rPr>
        <w:t>LUPA</w:t>
      </w:r>
      <w:r w:rsidR="00255F01" w:rsidRPr="00860D42">
        <w:rPr>
          <w:rFonts w:cstheme="minorHAnsi"/>
          <w:i/>
          <w:iCs/>
        </w:rPr>
        <w:t xml:space="preserve"> rates </w:t>
      </w:r>
      <w:r w:rsidR="00C51245" w:rsidRPr="00860D42">
        <w:rPr>
          <w:rFonts w:cstheme="minorHAnsi"/>
          <w:i/>
          <w:iCs/>
        </w:rPr>
        <w:t xml:space="preserve">in 2020 </w:t>
      </w:r>
      <w:r w:rsidR="00255F01" w:rsidRPr="00860D42">
        <w:rPr>
          <w:rFonts w:cstheme="minorHAnsi"/>
          <w:i/>
          <w:iCs/>
        </w:rPr>
        <w:t>so far are much higher than anticipated, which has contributed to a low measured per-case payment rate</w:t>
      </w:r>
      <w:r>
        <w:rPr>
          <w:rFonts w:cstheme="minorHAnsi"/>
          <w:i/>
          <w:iCs/>
        </w:rPr>
        <w:t xml:space="preserve"> </w:t>
      </w:r>
      <w:r w:rsidR="00716F03">
        <w:rPr>
          <w:rFonts w:cstheme="minorHAnsi"/>
          <w:i/>
          <w:iCs/>
        </w:rPr>
        <w:t xml:space="preserve">as well as low </w:t>
      </w:r>
      <w:r>
        <w:rPr>
          <w:rFonts w:cstheme="minorHAnsi"/>
          <w:i/>
          <w:iCs/>
        </w:rPr>
        <w:t xml:space="preserve">total aggregate </w:t>
      </w:r>
      <w:r w:rsidR="00A3270E">
        <w:rPr>
          <w:rFonts w:cstheme="minorHAnsi"/>
          <w:i/>
          <w:iCs/>
        </w:rPr>
        <w:t xml:space="preserve">case </w:t>
      </w:r>
      <w:r>
        <w:rPr>
          <w:rFonts w:cstheme="minorHAnsi"/>
          <w:i/>
          <w:iCs/>
        </w:rPr>
        <w:t>payments</w:t>
      </w:r>
      <w:r w:rsidR="00255F01" w:rsidRPr="00860D42">
        <w:rPr>
          <w:rFonts w:cstheme="minorHAnsi"/>
        </w:rPr>
        <w:t>.</w:t>
      </w:r>
      <w:r w:rsidR="008F599B" w:rsidRPr="00860D42">
        <w:rPr>
          <w:rFonts w:cstheme="minorHAnsi"/>
        </w:rPr>
        <w:t xml:space="preserve"> In the first four months of the year when home health agencies were adjusting to PDGM, the national LUPA </w:t>
      </w:r>
      <w:r w:rsidR="0046319F">
        <w:rPr>
          <w:rFonts w:cstheme="minorHAnsi"/>
        </w:rPr>
        <w:t xml:space="preserve">rate was </w:t>
      </w:r>
      <w:r w:rsidR="00F27B84">
        <w:rPr>
          <w:rFonts w:cstheme="minorHAnsi"/>
        </w:rPr>
        <w:t>14.4</w:t>
      </w:r>
      <w:r w:rsidR="0046319F">
        <w:rPr>
          <w:rFonts w:cstheme="minorHAnsi"/>
        </w:rPr>
        <w:t xml:space="preserve">% </w:t>
      </w:r>
      <w:r w:rsidR="008F599B" w:rsidRPr="00860D42">
        <w:rPr>
          <w:rFonts w:cstheme="minorHAnsi"/>
        </w:rPr>
        <w:t xml:space="preserve">with an all-time high of </w:t>
      </w:r>
      <w:r w:rsidR="00F27B84">
        <w:rPr>
          <w:rFonts w:cstheme="minorHAnsi"/>
        </w:rPr>
        <w:t>1</w:t>
      </w:r>
      <w:r w:rsidR="00235C86">
        <w:rPr>
          <w:rFonts w:cstheme="minorHAnsi"/>
        </w:rPr>
        <w:t>8.</w:t>
      </w:r>
      <w:r w:rsidR="00F27B84">
        <w:rPr>
          <w:rFonts w:cstheme="minorHAnsi"/>
        </w:rPr>
        <w:t>2</w:t>
      </w:r>
      <w:r w:rsidR="008F599B" w:rsidRPr="00860D42">
        <w:rPr>
          <w:rFonts w:cstheme="minorHAnsi"/>
        </w:rPr>
        <w:t xml:space="preserve">% in </w:t>
      </w:r>
      <w:r w:rsidR="003A0054">
        <w:rPr>
          <w:rFonts w:cstheme="minorHAnsi"/>
        </w:rPr>
        <w:t>March</w:t>
      </w:r>
      <w:r w:rsidR="008F599B" w:rsidRPr="00860D42">
        <w:rPr>
          <w:rFonts w:cstheme="minorHAnsi"/>
        </w:rPr>
        <w:t xml:space="preserve">. While the pandemic dramatically impacted home health </w:t>
      </w:r>
      <w:r w:rsidR="00ED3081">
        <w:rPr>
          <w:rFonts w:cstheme="minorHAnsi"/>
        </w:rPr>
        <w:t>activities</w:t>
      </w:r>
      <w:r w:rsidR="008F599B" w:rsidRPr="00860D42">
        <w:rPr>
          <w:rFonts w:cstheme="minorHAnsi"/>
        </w:rPr>
        <w:t xml:space="preserve">, </w:t>
      </w:r>
      <w:r w:rsidR="00AA4CD8" w:rsidRPr="00860D42">
        <w:rPr>
          <w:rFonts w:cstheme="minorHAnsi"/>
        </w:rPr>
        <w:t xml:space="preserve">we observed a spike in </w:t>
      </w:r>
      <w:r w:rsidR="008F599B" w:rsidRPr="00860D42">
        <w:rPr>
          <w:rFonts w:cstheme="minorHAnsi"/>
        </w:rPr>
        <w:t xml:space="preserve">LUPA rates </w:t>
      </w:r>
      <w:r w:rsidR="00AA4CD8" w:rsidRPr="00860D42">
        <w:rPr>
          <w:rFonts w:cstheme="minorHAnsi"/>
        </w:rPr>
        <w:t>even prior to</w:t>
      </w:r>
      <w:r w:rsidR="008F599B" w:rsidRPr="00860D42">
        <w:rPr>
          <w:rFonts w:cstheme="minorHAnsi"/>
        </w:rPr>
        <w:t xml:space="preserve"> the onset of pandemic </w:t>
      </w:r>
      <w:r w:rsidR="00D23459">
        <w:rPr>
          <w:rFonts w:cstheme="minorHAnsi"/>
        </w:rPr>
        <w:t xml:space="preserve">responses </w:t>
      </w:r>
      <w:r w:rsidR="008F599B" w:rsidRPr="00860D42">
        <w:rPr>
          <w:rFonts w:cstheme="minorHAnsi"/>
        </w:rPr>
        <w:t>in March.</w:t>
      </w:r>
      <w:r w:rsidR="00AA4CD8" w:rsidRPr="00860D42">
        <w:rPr>
          <w:rFonts w:cstheme="minorHAnsi"/>
        </w:rPr>
        <w:t xml:space="preserve"> This suggests that agencies were struggling </w:t>
      </w:r>
      <w:r w:rsidR="00716F03">
        <w:rPr>
          <w:rFonts w:cstheme="minorHAnsi"/>
        </w:rPr>
        <w:t>with the new</w:t>
      </w:r>
      <w:r w:rsidR="00AA4CD8" w:rsidRPr="00860D42">
        <w:rPr>
          <w:rFonts w:cstheme="minorHAnsi"/>
        </w:rPr>
        <w:t xml:space="preserve"> PDGM</w:t>
      </w:r>
      <w:r w:rsidR="00D36CDA">
        <w:rPr>
          <w:rFonts w:cstheme="minorHAnsi"/>
        </w:rPr>
        <w:t xml:space="preserve"> LUPA threshold</w:t>
      </w:r>
      <w:r w:rsidR="00AA4CD8" w:rsidRPr="00860D42">
        <w:rPr>
          <w:rFonts w:cstheme="minorHAnsi"/>
        </w:rPr>
        <w:t xml:space="preserve"> requirements before the pandemic. </w:t>
      </w:r>
    </w:p>
    <w:p w14:paraId="7A79D653" w14:textId="77777777" w:rsidR="00DE7E90" w:rsidRPr="00DE7E90" w:rsidRDefault="00C51245" w:rsidP="00513790">
      <w:pPr>
        <w:pStyle w:val="ListParagraph"/>
        <w:numPr>
          <w:ilvl w:val="1"/>
          <w:numId w:val="8"/>
        </w:numPr>
        <w:rPr>
          <w:rFonts w:cstheme="minorHAnsi"/>
        </w:rPr>
      </w:pPr>
      <w:r w:rsidRPr="00DE7E90">
        <w:rPr>
          <w:rFonts w:cstheme="minorHAnsi"/>
          <w:i/>
          <w:iCs/>
        </w:rPr>
        <w:lastRenderedPageBreak/>
        <w:t>Case-mix groups reflect historical trends of primary diagnoses rather than payment-optimized groupings</w:t>
      </w:r>
      <w:r w:rsidRPr="00DE7E90">
        <w:rPr>
          <w:rFonts w:cstheme="minorHAnsi"/>
        </w:rPr>
        <w:t xml:space="preserve">. While CMS </w:t>
      </w:r>
      <w:r w:rsidR="00D36CDA">
        <w:rPr>
          <w:rFonts w:cstheme="minorHAnsi"/>
        </w:rPr>
        <w:t>assumed</w:t>
      </w:r>
      <w:r w:rsidR="00D36CDA" w:rsidRPr="00DE7E90">
        <w:rPr>
          <w:rFonts w:cstheme="minorHAnsi"/>
        </w:rPr>
        <w:t xml:space="preserve"> </w:t>
      </w:r>
      <w:r w:rsidRPr="00DE7E90">
        <w:rPr>
          <w:rFonts w:cstheme="minorHAnsi"/>
        </w:rPr>
        <w:t xml:space="preserve">that some portion of cases would have their claims submitted such that the highest paying clinical group diagnostic code reported </w:t>
      </w:r>
      <w:r w:rsidR="00A3270E">
        <w:rPr>
          <w:rFonts w:cstheme="minorHAnsi"/>
        </w:rPr>
        <w:t xml:space="preserve">  </w:t>
      </w:r>
      <w:r w:rsidRPr="00DE7E90">
        <w:rPr>
          <w:rFonts w:cstheme="minorHAnsi"/>
        </w:rPr>
        <w:t>anywhere on the claim would be chosen for the primary diagnosis code</w:t>
      </w:r>
      <w:r w:rsidR="00AA4CD8" w:rsidRPr="00DE7E90">
        <w:rPr>
          <w:rFonts w:cstheme="minorHAnsi"/>
        </w:rPr>
        <w:t>, our results show that this has</w:t>
      </w:r>
      <w:r w:rsidR="00D36CDA">
        <w:rPr>
          <w:rFonts w:cstheme="minorHAnsi"/>
        </w:rPr>
        <w:t>, by in large,</w:t>
      </w:r>
      <w:r w:rsidR="00AA4CD8" w:rsidRPr="00DE7E90">
        <w:rPr>
          <w:rFonts w:cstheme="minorHAnsi"/>
        </w:rPr>
        <w:t xml:space="preserve"> not happened</w:t>
      </w:r>
      <w:r w:rsidRPr="00DE7E90">
        <w:rPr>
          <w:rFonts w:cstheme="minorHAnsi"/>
        </w:rPr>
        <w:t>.</w:t>
      </w:r>
      <w:r w:rsidR="00AA4CD8" w:rsidRPr="00DE7E90">
        <w:rPr>
          <w:rFonts w:cstheme="minorHAnsi"/>
        </w:rPr>
        <w:t xml:space="preserve"> Clinical case</w:t>
      </w:r>
      <w:r w:rsidR="00D23459" w:rsidRPr="00DE7E90">
        <w:rPr>
          <w:rFonts w:cstheme="minorHAnsi"/>
        </w:rPr>
        <w:t>-</w:t>
      </w:r>
      <w:r w:rsidR="00AA4CD8" w:rsidRPr="00DE7E90">
        <w:rPr>
          <w:rFonts w:cstheme="minorHAnsi"/>
        </w:rPr>
        <w:t xml:space="preserve">mix groups observed are much </w:t>
      </w:r>
      <w:r w:rsidR="00FD1A9D" w:rsidRPr="00DE7E90">
        <w:rPr>
          <w:rFonts w:cstheme="minorHAnsi"/>
        </w:rPr>
        <w:t xml:space="preserve">more </w:t>
      </w:r>
      <w:r w:rsidR="00A3270E" w:rsidRPr="00DE7E90">
        <w:rPr>
          <w:rFonts w:cstheme="minorHAnsi"/>
        </w:rPr>
        <w:t>like</w:t>
      </w:r>
      <w:r w:rsidR="00AA4CD8" w:rsidRPr="00DE7E90">
        <w:rPr>
          <w:rFonts w:cstheme="minorHAnsi"/>
        </w:rPr>
        <w:t xml:space="preserve"> </w:t>
      </w:r>
      <w:r w:rsidR="00D23459" w:rsidRPr="00DE7E90">
        <w:rPr>
          <w:rFonts w:cstheme="minorHAnsi"/>
        </w:rPr>
        <w:t xml:space="preserve">historical </w:t>
      </w:r>
      <w:r w:rsidR="00AA4CD8" w:rsidRPr="00DE7E90">
        <w:rPr>
          <w:rFonts w:cstheme="minorHAnsi"/>
        </w:rPr>
        <w:t xml:space="preserve">trends from the </w:t>
      </w:r>
      <w:r w:rsidR="00D23459" w:rsidRPr="00DE7E90">
        <w:rPr>
          <w:rFonts w:cstheme="minorHAnsi"/>
        </w:rPr>
        <w:t xml:space="preserve">rate-setting file </w:t>
      </w:r>
      <w:r w:rsidR="00AA4CD8" w:rsidRPr="00DE7E90">
        <w:rPr>
          <w:rFonts w:cstheme="minorHAnsi"/>
        </w:rPr>
        <w:t xml:space="preserve">without the behavioral adjustment. </w:t>
      </w:r>
    </w:p>
    <w:p w14:paraId="2F20267D" w14:textId="0271EC10" w:rsidR="00AA4CD8" w:rsidRPr="00232BB5" w:rsidRDefault="00AA4CD8" w:rsidP="008907E7">
      <w:pPr>
        <w:pStyle w:val="ListParagraph"/>
        <w:numPr>
          <w:ilvl w:val="1"/>
          <w:numId w:val="8"/>
        </w:numPr>
        <w:spacing w:after="0"/>
      </w:pPr>
      <w:r w:rsidRPr="00860D42">
        <w:rPr>
          <w:rFonts w:cstheme="minorHAnsi"/>
          <w:i/>
          <w:iCs/>
        </w:rPr>
        <w:t>Comorbidity and functional group scores are higher than anticipated which may be some part behavioral adjustment but also a</w:t>
      </w:r>
      <w:r w:rsidR="00FD1A9D">
        <w:rPr>
          <w:rFonts w:cstheme="minorHAnsi"/>
          <w:i/>
          <w:iCs/>
        </w:rPr>
        <w:t xml:space="preserve"> relative</w:t>
      </w:r>
      <w:r w:rsidRPr="00860D42">
        <w:rPr>
          <w:rFonts w:cstheme="minorHAnsi"/>
          <w:i/>
          <w:iCs/>
        </w:rPr>
        <w:t xml:space="preserve"> increase in case-mix severity</w:t>
      </w:r>
      <w:r w:rsidR="00A3270E">
        <w:rPr>
          <w:rFonts w:cstheme="minorHAnsi"/>
          <w:i/>
          <w:iCs/>
        </w:rPr>
        <w:t xml:space="preserve"> from historical trend</w:t>
      </w:r>
      <w:r w:rsidRPr="00860D42">
        <w:rPr>
          <w:rFonts w:cstheme="minorHAnsi"/>
        </w:rPr>
        <w:t>.</w:t>
      </w:r>
      <w:r w:rsidRPr="00860D42">
        <w:rPr>
          <w:rFonts w:cstheme="minorHAnsi"/>
          <w:spacing w:val="-2"/>
          <w:kern w:val="22"/>
        </w:rPr>
        <w:t xml:space="preserve"> CMS </w:t>
      </w:r>
      <w:r w:rsidR="00D36CDA">
        <w:rPr>
          <w:rFonts w:cstheme="minorHAnsi"/>
          <w:spacing w:val="-2"/>
          <w:kern w:val="22"/>
        </w:rPr>
        <w:t>assumed</w:t>
      </w:r>
      <w:r w:rsidR="00D36CDA" w:rsidRPr="00860D42">
        <w:rPr>
          <w:rFonts w:cstheme="minorHAnsi"/>
          <w:spacing w:val="-2"/>
          <w:kern w:val="22"/>
        </w:rPr>
        <w:t xml:space="preserve"> </w:t>
      </w:r>
      <w:r w:rsidRPr="00860D42">
        <w:rPr>
          <w:rFonts w:cstheme="minorHAnsi"/>
          <w:spacing w:val="-2"/>
          <w:kern w:val="22"/>
        </w:rPr>
        <w:t xml:space="preserve">that some </w:t>
      </w:r>
      <w:r w:rsidRPr="00860D42">
        <w:rPr>
          <w:rFonts w:cstheme="minorHAnsi"/>
        </w:rPr>
        <w:t xml:space="preserve">cases would have additional comorbidities reported that were also reported elsewhere in that beneficiary’s </w:t>
      </w:r>
      <w:r w:rsidR="00ED3081">
        <w:rPr>
          <w:rFonts w:cstheme="minorHAnsi"/>
        </w:rPr>
        <w:t>home health</w:t>
      </w:r>
      <w:r w:rsidRPr="00860D42">
        <w:rPr>
          <w:rFonts w:cstheme="minorHAnsi"/>
        </w:rPr>
        <w:t xml:space="preserve"> claims or </w:t>
      </w:r>
      <w:r w:rsidR="00ED3081">
        <w:rPr>
          <w:rFonts w:cstheme="minorHAnsi"/>
        </w:rPr>
        <w:t xml:space="preserve">assessment </w:t>
      </w:r>
      <w:r w:rsidRPr="00860D42">
        <w:rPr>
          <w:rFonts w:cstheme="minorHAnsi"/>
        </w:rPr>
        <w:t>data.</w:t>
      </w:r>
      <w:r w:rsidR="00E960BE" w:rsidRPr="00860D42">
        <w:rPr>
          <w:rFonts w:cstheme="minorHAnsi"/>
        </w:rPr>
        <w:t xml:space="preserve"> </w:t>
      </w:r>
      <w:r w:rsidR="00860D42" w:rsidRPr="00860D42">
        <w:rPr>
          <w:rFonts w:cstheme="minorHAnsi"/>
        </w:rPr>
        <w:t xml:space="preserve">While </w:t>
      </w:r>
      <w:r w:rsidR="00A3270E">
        <w:rPr>
          <w:rFonts w:cstheme="minorHAnsi"/>
        </w:rPr>
        <w:t>preliminary 2020</w:t>
      </w:r>
      <w:r w:rsidR="00E960BE" w:rsidRPr="00860D42">
        <w:rPr>
          <w:rFonts w:cstheme="minorHAnsi"/>
        </w:rPr>
        <w:t xml:space="preserve"> </w:t>
      </w:r>
      <w:r w:rsidR="00ED3081">
        <w:rPr>
          <w:rFonts w:cstheme="minorHAnsi"/>
        </w:rPr>
        <w:t xml:space="preserve">claims </w:t>
      </w:r>
      <w:r w:rsidR="00E960BE" w:rsidRPr="00860D42">
        <w:rPr>
          <w:rFonts w:cstheme="minorHAnsi"/>
        </w:rPr>
        <w:t>data show that p</w:t>
      </w:r>
      <w:r w:rsidR="00E960BE" w:rsidRPr="00E960BE">
        <w:rPr>
          <w:rFonts w:cstheme="minorHAnsi"/>
        </w:rPr>
        <w:t>rovider</w:t>
      </w:r>
      <w:r w:rsidR="00ED3081">
        <w:rPr>
          <w:rFonts w:cstheme="minorHAnsi"/>
        </w:rPr>
        <w:t>s have an increased rate of high comorbidity and functional need cases</w:t>
      </w:r>
      <w:r w:rsidR="00860D42" w:rsidRPr="00860D42">
        <w:rPr>
          <w:rFonts w:cstheme="minorHAnsi"/>
        </w:rPr>
        <w:t>,</w:t>
      </w:r>
      <w:r w:rsidR="00E960BE" w:rsidRPr="00E960BE">
        <w:rPr>
          <w:rFonts w:cstheme="minorHAnsi"/>
        </w:rPr>
        <w:t xml:space="preserve"> total volume of high comorbidity and functional need patients </w:t>
      </w:r>
      <w:r w:rsidR="00860D42" w:rsidRPr="00860D42">
        <w:rPr>
          <w:rFonts w:cstheme="minorHAnsi"/>
        </w:rPr>
        <w:t>remained</w:t>
      </w:r>
      <w:r w:rsidR="00E960BE" w:rsidRPr="00E960BE">
        <w:rPr>
          <w:rFonts w:cstheme="minorHAnsi"/>
        </w:rPr>
        <w:t xml:space="preserve"> relatively consistent</w:t>
      </w:r>
      <w:r w:rsidR="00D36CDA">
        <w:rPr>
          <w:rFonts w:cstheme="minorHAnsi"/>
        </w:rPr>
        <w:t xml:space="preserve"> to projections from historical trends</w:t>
      </w:r>
      <w:r w:rsidR="00E960BE" w:rsidRPr="00E960BE">
        <w:rPr>
          <w:rFonts w:cstheme="minorHAnsi"/>
        </w:rPr>
        <w:t>.</w:t>
      </w:r>
      <w:r w:rsidR="00DE7E90">
        <w:rPr>
          <w:rFonts w:cstheme="minorHAnsi"/>
        </w:rPr>
        <w:t xml:space="preserve"> </w:t>
      </w:r>
      <w:r w:rsidR="00D36CDA">
        <w:rPr>
          <w:rFonts w:cstheme="minorHAnsi"/>
        </w:rPr>
        <w:t>Providers</w:t>
      </w:r>
      <w:r w:rsidR="00DE7E90">
        <w:rPr>
          <w:rFonts w:cstheme="minorHAnsi"/>
        </w:rPr>
        <w:t xml:space="preserve"> are increasingly </w:t>
      </w:r>
      <w:r w:rsidR="000C7103">
        <w:rPr>
          <w:rFonts w:cstheme="minorHAnsi"/>
        </w:rPr>
        <w:t>supplying</w:t>
      </w:r>
      <w:r w:rsidR="00DE7E90">
        <w:rPr>
          <w:rFonts w:cstheme="minorHAnsi"/>
        </w:rPr>
        <w:t xml:space="preserve"> care to patients of higher complexity</w:t>
      </w:r>
      <w:r w:rsidR="00D36CDA">
        <w:rPr>
          <w:rFonts w:cstheme="minorHAnsi"/>
        </w:rPr>
        <w:t xml:space="preserve">, despite or perhaps because of the overall reduction in volume accompanying the </w:t>
      </w:r>
      <w:r w:rsidR="00A3270E">
        <w:rPr>
          <w:rFonts w:cstheme="minorHAnsi"/>
        </w:rPr>
        <w:t xml:space="preserve">COVID-19 </w:t>
      </w:r>
      <w:r w:rsidR="00D36CDA">
        <w:rPr>
          <w:rFonts w:cstheme="minorHAnsi"/>
        </w:rPr>
        <w:t>PHE</w:t>
      </w:r>
      <w:r w:rsidR="00DE7E90">
        <w:rPr>
          <w:rFonts w:cstheme="minorHAnsi"/>
        </w:rPr>
        <w:t xml:space="preserve">. </w:t>
      </w:r>
    </w:p>
    <w:p w14:paraId="5FC57AEC" w14:textId="77777777" w:rsidR="00855526" w:rsidRPr="00712858" w:rsidRDefault="00855526" w:rsidP="008907E7">
      <w:pPr>
        <w:spacing w:after="0"/>
        <w:ind w:left="360"/>
      </w:pPr>
    </w:p>
    <w:p w14:paraId="7F715875" w14:textId="180A5758" w:rsidR="00232BB5" w:rsidRPr="00B0728D" w:rsidRDefault="00232BB5" w:rsidP="008907E7">
      <w:pPr>
        <w:pStyle w:val="ListParagraph"/>
        <w:numPr>
          <w:ilvl w:val="0"/>
          <w:numId w:val="8"/>
        </w:numPr>
        <w:spacing w:after="0"/>
      </w:pPr>
      <w:r w:rsidRPr="00B0728D">
        <w:rPr>
          <w:rFonts w:cstheme="minorHAnsi"/>
          <w:i/>
          <w:iCs/>
        </w:rPr>
        <w:t>Case</w:t>
      </w:r>
      <w:r w:rsidRPr="00B0728D">
        <w:t>-</w:t>
      </w:r>
      <w:r w:rsidRPr="00B0728D">
        <w:rPr>
          <w:i/>
          <w:iCs/>
        </w:rPr>
        <w:t>Mix Severity</w:t>
      </w:r>
      <w:r w:rsidR="00716F03" w:rsidRPr="00B0728D">
        <w:rPr>
          <w:i/>
          <w:iCs/>
        </w:rPr>
        <w:t xml:space="preserve">: </w:t>
      </w:r>
      <w:r w:rsidR="00716F03" w:rsidRPr="00B0728D">
        <w:t>Overall aggregate case-mix weights during the period were 1.0</w:t>
      </w:r>
      <w:r w:rsidR="00F27B84">
        <w:t>5</w:t>
      </w:r>
      <w:r w:rsidR="00B0728D" w:rsidRPr="00B0728D">
        <w:t xml:space="preserve"> and </w:t>
      </w:r>
      <w:r w:rsidR="00716F03" w:rsidRPr="00B0728D">
        <w:t xml:space="preserve">did not meet the level anticipated in behavioral </w:t>
      </w:r>
      <w:r w:rsidR="00B0728D" w:rsidRPr="00B0728D">
        <w:t xml:space="preserve">adjusted projections of </w:t>
      </w:r>
      <w:r w:rsidR="00716F03" w:rsidRPr="00B0728D">
        <w:t xml:space="preserve">1.08. </w:t>
      </w:r>
    </w:p>
    <w:p w14:paraId="3A5B728C" w14:textId="1EE70E5F" w:rsidR="00B0728D" w:rsidRPr="00B0728D" w:rsidRDefault="00B0728D" w:rsidP="008907E7">
      <w:pPr>
        <w:pStyle w:val="ListParagraph"/>
        <w:numPr>
          <w:ilvl w:val="1"/>
          <w:numId w:val="8"/>
        </w:numPr>
        <w:spacing w:after="0"/>
      </w:pPr>
      <w:r w:rsidRPr="00B0728D">
        <w:rPr>
          <w:rFonts w:cstheme="minorHAnsi"/>
        </w:rPr>
        <w:t xml:space="preserve">Case-mix severity in general was higher than historical trends for PDGM (1.01). We further explored issues around case volume decline, LUPA rates, and PDGM case mix group categories and case-mix weights. This provided </w:t>
      </w:r>
      <w:r w:rsidR="00A3270E">
        <w:rPr>
          <w:rFonts w:cstheme="minorHAnsi"/>
        </w:rPr>
        <w:t>additional</w:t>
      </w:r>
      <w:r w:rsidRPr="00B0728D">
        <w:rPr>
          <w:rFonts w:cstheme="minorHAnsi"/>
        </w:rPr>
        <w:t xml:space="preserve"> evidence suggesting that increases in case-mix severity are more due </w:t>
      </w:r>
      <w:r>
        <w:rPr>
          <w:rFonts w:cstheme="minorHAnsi"/>
        </w:rPr>
        <w:t xml:space="preserve">more </w:t>
      </w:r>
      <w:r w:rsidRPr="00B0728D">
        <w:rPr>
          <w:rFonts w:cstheme="minorHAnsi"/>
        </w:rPr>
        <w:t>to volume declines (where higher need cases are more likely to receive visits) rather than coding changes.</w:t>
      </w:r>
    </w:p>
    <w:p w14:paraId="1B17EE94" w14:textId="77777777" w:rsidR="00855526" w:rsidRPr="00855526" w:rsidRDefault="00855526" w:rsidP="00712858">
      <w:pPr>
        <w:spacing w:after="0"/>
        <w:ind w:left="360"/>
      </w:pPr>
    </w:p>
    <w:p w14:paraId="61462A04" w14:textId="7564121E" w:rsidR="00B0728D" w:rsidRPr="00B0728D" w:rsidRDefault="00B0728D" w:rsidP="008907E7">
      <w:pPr>
        <w:pStyle w:val="ListParagraph"/>
        <w:numPr>
          <w:ilvl w:val="0"/>
          <w:numId w:val="8"/>
        </w:numPr>
        <w:spacing w:after="0"/>
      </w:pPr>
      <w:r>
        <w:rPr>
          <w:rFonts w:cstheme="minorHAnsi"/>
        </w:rPr>
        <w:t>Policy Implications: Findings have implications for rate-setting in CY2021.</w:t>
      </w:r>
    </w:p>
    <w:p w14:paraId="5BC6CE64" w14:textId="5C3E4DAC" w:rsidR="00A3270E" w:rsidRPr="00A3270E" w:rsidRDefault="00A3270E" w:rsidP="00B0728D">
      <w:pPr>
        <w:pStyle w:val="ListParagraph"/>
        <w:numPr>
          <w:ilvl w:val="1"/>
          <w:numId w:val="8"/>
        </w:numPr>
      </w:pPr>
      <w:r>
        <w:t xml:space="preserve">The lack of observed provider behavioral responses so far suggests CMS </w:t>
      </w:r>
      <w:r w:rsidR="00855526">
        <w:t xml:space="preserve">behavioral </w:t>
      </w:r>
      <w:r>
        <w:t>assumptions may not come to pas</w:t>
      </w:r>
      <w:r w:rsidR="00A9750D">
        <w:t xml:space="preserve">s; some part of the occurrence of increased case-mix severity may be a response to the COVID-19 PHE. CMS is explicitly authorized under the Bipartisan Budget Act of 2018 to </w:t>
      </w:r>
      <w:r w:rsidR="00EB36C0">
        <w:t>adjust</w:t>
      </w:r>
      <w:r w:rsidR="00357150">
        <w:t xml:space="preserve"> the CY2021</w:t>
      </w:r>
      <w:r w:rsidR="00EB36C0">
        <w:t xml:space="preserve"> HH PPS base rate temporarily or permanently</w:t>
      </w:r>
      <w:r w:rsidR="00A9750D">
        <w:t xml:space="preserve"> to achieve budget neutrality.</w:t>
      </w:r>
      <w:r w:rsidR="00A9750D">
        <w:rPr>
          <w:rStyle w:val="FootnoteReference"/>
        </w:rPr>
        <w:footnoteReference w:id="3"/>
      </w:r>
      <w:r w:rsidR="00A9750D">
        <w:t xml:space="preserve"> </w:t>
      </w:r>
    </w:p>
    <w:p w14:paraId="74E8C497" w14:textId="505595F1" w:rsidR="00B0728D" w:rsidRPr="00B0728D" w:rsidRDefault="00357150" w:rsidP="00B0728D">
      <w:pPr>
        <w:pStyle w:val="ListParagraph"/>
        <w:numPr>
          <w:ilvl w:val="1"/>
          <w:numId w:val="8"/>
        </w:numPr>
      </w:pPr>
      <w:r>
        <w:rPr>
          <w:rFonts w:cstheme="minorHAnsi"/>
        </w:rPr>
        <w:t xml:space="preserve">The </w:t>
      </w:r>
      <w:r w:rsidR="00B0728D">
        <w:rPr>
          <w:rFonts w:cstheme="minorHAnsi"/>
        </w:rPr>
        <w:t>COVID-19 PHE response activities among states, CMS, and providers all serve to make data from this time less reliable and representative than the typical data used for rate-setting, rebasing</w:t>
      </w:r>
      <w:r w:rsidR="00A9750D">
        <w:rPr>
          <w:rFonts w:cstheme="minorHAnsi"/>
        </w:rPr>
        <w:t>,</w:t>
      </w:r>
      <w:r w:rsidR="00B0728D">
        <w:rPr>
          <w:rFonts w:cstheme="minorHAnsi"/>
        </w:rPr>
        <w:t xml:space="preserve"> and payment reform.</w:t>
      </w:r>
    </w:p>
    <w:p w14:paraId="20CAD523" w14:textId="5D369786" w:rsidR="00B0728D" w:rsidRPr="000E49B0" w:rsidRDefault="00B0728D" w:rsidP="00A9750D">
      <w:pPr>
        <w:pStyle w:val="ListParagraph"/>
        <w:numPr>
          <w:ilvl w:val="2"/>
          <w:numId w:val="8"/>
        </w:numPr>
      </w:pPr>
      <w:r>
        <w:rPr>
          <w:rFonts w:cstheme="minorHAnsi"/>
        </w:rPr>
        <w:t xml:space="preserve">This has implications </w:t>
      </w:r>
      <w:r w:rsidR="00855526">
        <w:rPr>
          <w:rFonts w:cstheme="minorHAnsi"/>
        </w:rPr>
        <w:t xml:space="preserve">for </w:t>
      </w:r>
      <w:r>
        <w:rPr>
          <w:rFonts w:cstheme="minorHAnsi"/>
        </w:rPr>
        <w:t xml:space="preserve">everything from future rebasing of the HH PPS to the IMPACT Act timeline.  </w:t>
      </w:r>
    </w:p>
    <w:bookmarkEnd w:id="1"/>
    <w:p w14:paraId="205F51FE" w14:textId="77777777" w:rsidR="00B353DD" w:rsidRPr="00DE7E90" w:rsidRDefault="00D36CDA" w:rsidP="00A3554D">
      <w:pPr>
        <w:pStyle w:val="Heading2"/>
      </w:pPr>
      <w:r>
        <w:t>Detailed Findings</w:t>
      </w:r>
    </w:p>
    <w:p w14:paraId="03D9528C" w14:textId="125FD9EE" w:rsidR="00D36CDA" w:rsidRDefault="00DE7E90" w:rsidP="00D36CDA">
      <w:pPr>
        <w:ind w:right="0"/>
      </w:pPr>
      <w:r>
        <w:t>The B</w:t>
      </w:r>
      <w:r w:rsidR="00D36CDA">
        <w:t xml:space="preserve">ipartisan </w:t>
      </w:r>
      <w:r>
        <w:t>B</w:t>
      </w:r>
      <w:r w:rsidR="00D36CDA">
        <w:t xml:space="preserve">udget </w:t>
      </w:r>
      <w:r>
        <w:t>A</w:t>
      </w:r>
      <w:r w:rsidR="00D36CDA">
        <w:t>ct</w:t>
      </w:r>
      <w:r>
        <w:t xml:space="preserve"> of 2018 mandated CMS to develop a new payment model for the Medicare home health </w:t>
      </w:r>
      <w:r w:rsidRPr="00A55932">
        <w:rPr>
          <w:color w:val="000000" w:themeColor="text1"/>
        </w:rPr>
        <w:t>program</w:t>
      </w:r>
      <w:r w:rsidRPr="00D34F20">
        <w:t xml:space="preserve"> </w:t>
      </w:r>
      <w:r>
        <w:t>with a number of requirements, namely that</w:t>
      </w:r>
      <w:r w:rsidR="00EB36C0">
        <w:t>:</w:t>
      </w:r>
      <w:r w:rsidR="00DB7DFC">
        <w:t xml:space="preserve"> </w:t>
      </w:r>
      <w:r>
        <w:t>1) HH PPS cases</w:t>
      </w:r>
      <w:r w:rsidR="00DB7DFC">
        <w:rPr>
          <w:rStyle w:val="FootnoteReference"/>
        </w:rPr>
        <w:footnoteReference w:id="4"/>
      </w:r>
      <w:r>
        <w:t xml:space="preserve"> are shortened from 60 days to 30 days, 2) cases </w:t>
      </w:r>
      <w:r w:rsidR="00EB36C0">
        <w:t>are no</w:t>
      </w:r>
      <w:r>
        <w:t xml:space="preserve"> longer paid based on volume of therapy services and 3) changes </w:t>
      </w:r>
      <w:r w:rsidR="00EB36C0">
        <w:t xml:space="preserve">are </w:t>
      </w:r>
      <w:r>
        <w:t xml:space="preserve">implemented </w:t>
      </w:r>
      <w:r>
        <w:lastRenderedPageBreak/>
        <w:t xml:space="preserve">in a budget neutral manner. </w:t>
      </w:r>
      <w:r w:rsidR="007A4D24" w:rsidRPr="0022675C">
        <w:t xml:space="preserve">We examined the actual changes in coding under PDGM </w:t>
      </w:r>
      <w:r w:rsidR="00855526">
        <w:t>compared</w:t>
      </w:r>
      <w:r w:rsidR="007A4D24" w:rsidRPr="0022675C">
        <w:t xml:space="preserve"> to CMS projections using data from early 2020 claims files</w:t>
      </w:r>
      <w:r w:rsidR="00D36CDA">
        <w:t xml:space="preserve"> </w:t>
      </w:r>
      <w:r w:rsidR="003A1CC2">
        <w:t>a</w:t>
      </w:r>
      <w:r w:rsidR="00D36CDA">
        <w:t xml:space="preserve">nd the </w:t>
      </w:r>
      <w:r w:rsidR="007A4D24" w:rsidRPr="0022675C">
        <w:t>CY 2020 CMS OASIS-LDS PDGM rate-setting file.</w:t>
      </w:r>
    </w:p>
    <w:p w14:paraId="43406D19" w14:textId="409A5C0C" w:rsidR="003A1CC2" w:rsidRDefault="00D36CDA" w:rsidP="00901FCC">
      <w:pPr>
        <w:pStyle w:val="ListParagraph"/>
        <w:numPr>
          <w:ilvl w:val="0"/>
          <w:numId w:val="4"/>
        </w:numPr>
      </w:pPr>
      <w:r>
        <w:t xml:space="preserve">Preliminary 2020 claims </w:t>
      </w:r>
      <w:r w:rsidR="00357150">
        <w:t xml:space="preserve">were </w:t>
      </w:r>
      <w:r>
        <w:t>available</w:t>
      </w:r>
      <w:r w:rsidR="00357150">
        <w:t xml:space="preserve"> to Dobson | DaVanzo</w:t>
      </w:r>
      <w:r>
        <w:t xml:space="preserve"> under CMS </w:t>
      </w:r>
      <w:r w:rsidR="009378ED">
        <w:t xml:space="preserve">Research Identifiable File (RIF) </w:t>
      </w:r>
      <w:r>
        <w:t xml:space="preserve">Data Use Agreement </w:t>
      </w:r>
      <w:r w:rsidR="009378ED">
        <w:t xml:space="preserve">(DUA) </w:t>
      </w:r>
      <w:r>
        <w:t>54757.</w:t>
      </w:r>
      <w:r w:rsidR="003A1CC2">
        <w:t xml:space="preserve"> Data included in this report go through </w:t>
      </w:r>
      <w:r w:rsidR="002B56AB">
        <w:t xml:space="preserve">June </w:t>
      </w:r>
      <w:r w:rsidR="003A1CC2">
        <w:t>2020, the most recent available month with sufficient claims run</w:t>
      </w:r>
      <w:r w:rsidR="00C55E62">
        <w:t xml:space="preserve"> </w:t>
      </w:r>
      <w:r w:rsidR="003A1CC2">
        <w:t>out.</w:t>
      </w:r>
      <w:r w:rsidR="003A1CC2">
        <w:rPr>
          <w:rStyle w:val="FootnoteReference"/>
        </w:rPr>
        <w:footnoteReference w:id="5"/>
      </w:r>
      <w:r w:rsidR="00957A17">
        <w:t xml:space="preserve"> The previous report included data through April 2020. </w:t>
      </w:r>
    </w:p>
    <w:p w14:paraId="19A62051" w14:textId="77777777" w:rsidR="003A1CC2" w:rsidRDefault="003A1CC2" w:rsidP="00901FCC">
      <w:pPr>
        <w:pStyle w:val="ListParagraph"/>
        <w:numPr>
          <w:ilvl w:val="0"/>
          <w:numId w:val="4"/>
        </w:numPr>
      </w:pPr>
      <w:r>
        <w:t>Historical projections of PDGM using 2018 data and including both a regrouping of HH PPS cases to PDGM as well as the behavioral assumptions are available in the CY2020 OASIS-LDS file, Data Use Agreement 53367. This dataset was issued as a companion to the CY2020 Final Rule.</w:t>
      </w:r>
    </w:p>
    <w:p w14:paraId="4C9DC6DD" w14:textId="77777777" w:rsidR="00DB2370" w:rsidRDefault="00DB2370" w:rsidP="00DB2370">
      <w:pPr>
        <w:pStyle w:val="Heading3"/>
      </w:pPr>
      <w:r>
        <w:t>Budget Neutrality</w:t>
      </w:r>
    </w:p>
    <w:p w14:paraId="5BE2F58F" w14:textId="4FACA26D" w:rsidR="00DE7E90" w:rsidRDefault="00DE7E90">
      <w:pPr>
        <w:ind w:right="0"/>
      </w:pPr>
      <w:r>
        <w:t xml:space="preserve">We find that PDGM does </w:t>
      </w:r>
      <w:r w:rsidR="00B0728D">
        <w:t xml:space="preserve">not </w:t>
      </w:r>
      <w:r>
        <w:t xml:space="preserve">appear to be budget neutral </w:t>
      </w:r>
      <w:r w:rsidR="00B0728D">
        <w:t>at</w:t>
      </w:r>
      <w:r>
        <w:t xml:space="preserve"> its </w:t>
      </w:r>
      <w:r w:rsidR="00B0728D">
        <w:t>currently implemented</w:t>
      </w:r>
      <w:r>
        <w:t xml:space="preserve"> payment levels</w:t>
      </w:r>
      <w:r w:rsidR="00C55E62">
        <w:t>,</w:t>
      </w:r>
      <w:r w:rsidR="00A13480">
        <w:t xml:space="preserve"> </w:t>
      </w:r>
      <w:r w:rsidR="00BB74D4">
        <w:t xml:space="preserve">indicating </w:t>
      </w:r>
      <w:r w:rsidR="00A13480">
        <w:t xml:space="preserve">higher </w:t>
      </w:r>
      <w:r w:rsidR="00C55E62">
        <w:t xml:space="preserve">base </w:t>
      </w:r>
      <w:r w:rsidR="00A13480">
        <w:t>payments</w:t>
      </w:r>
      <w:r w:rsidR="00C55E62">
        <w:t xml:space="preserve"> may be required to achieve budget neutrality</w:t>
      </w:r>
      <w:r>
        <w:t xml:space="preserve">. Over the first </w:t>
      </w:r>
      <w:r w:rsidR="002B56AB">
        <w:t xml:space="preserve">six </w:t>
      </w:r>
      <w:r>
        <w:t>months of implementation</w:t>
      </w:r>
      <w:r w:rsidR="00F74A35">
        <w:t>,</w:t>
      </w:r>
      <w:r>
        <w:t xml:space="preserve"> average case payments </w:t>
      </w:r>
      <w:r w:rsidR="00F74A35">
        <w:t xml:space="preserve">were </w:t>
      </w:r>
      <w:r>
        <w:t xml:space="preserve">reduced by </w:t>
      </w:r>
      <w:r w:rsidR="002B56AB">
        <w:t>5.2</w:t>
      </w:r>
      <w:r>
        <w:t>%</w:t>
      </w:r>
      <w:r w:rsidR="00B0728D">
        <w:t>.</w:t>
      </w:r>
      <w:r w:rsidR="007E67CE">
        <w:t xml:space="preserve"> </w:t>
      </w:r>
      <w:r w:rsidR="00B0728D">
        <w:t>In</w:t>
      </w:r>
      <w:r w:rsidR="00FF791F">
        <w:t xml:space="preserve"> </w:t>
      </w:r>
      <w:r w:rsidR="00FF791F">
        <w:fldChar w:fldCharType="begin"/>
      </w:r>
      <w:r w:rsidR="00FF791F">
        <w:instrText xml:space="preserve"> REF _Ref48553994 \h </w:instrText>
      </w:r>
      <w:r w:rsidR="00FF791F">
        <w:fldChar w:fldCharType="separate"/>
      </w:r>
      <w:r w:rsidR="00B92EA7">
        <w:t xml:space="preserve">Exhibit </w:t>
      </w:r>
      <w:r w:rsidR="00B92EA7">
        <w:rPr>
          <w:noProof/>
        </w:rPr>
        <w:t>1</w:t>
      </w:r>
      <w:r w:rsidR="00FF791F">
        <w:fldChar w:fldCharType="end"/>
      </w:r>
      <w:r w:rsidR="00892AC2">
        <w:t xml:space="preserve">, we show the rate-setting file outputs with </w:t>
      </w:r>
      <w:r w:rsidR="003D684A">
        <w:t xml:space="preserve">CMS </w:t>
      </w:r>
      <w:r w:rsidR="00892AC2">
        <w:t>behavioral adjustment</w:t>
      </w:r>
      <w:r w:rsidR="00F74A35">
        <w:t>s</w:t>
      </w:r>
      <w:r w:rsidR="00892AC2">
        <w:t xml:space="preserve"> (</w:t>
      </w:r>
      <w:r w:rsidR="003D684A">
        <w:t xml:space="preserve">Full BA) and </w:t>
      </w:r>
      <w:r w:rsidR="00892AC2">
        <w:t>without behavioral adjustment</w:t>
      </w:r>
      <w:r w:rsidR="00F74A35">
        <w:t>s</w:t>
      </w:r>
      <w:r w:rsidR="003D684A">
        <w:t xml:space="preserve"> (No BA)</w:t>
      </w:r>
      <w:r w:rsidR="00FC0753">
        <w:t xml:space="preserve"> compared to observed rates from preliminary 2020 RIF claims. Average case payments were </w:t>
      </w:r>
      <w:r w:rsidR="00374572">
        <w:t xml:space="preserve">partially </w:t>
      </w:r>
      <w:r w:rsidR="00FC0753">
        <w:t xml:space="preserve">inflated in January due to the transition </w:t>
      </w:r>
      <w:r w:rsidR="00740789">
        <w:t xml:space="preserve">to PDGM </w:t>
      </w:r>
      <w:r w:rsidR="00FC0753">
        <w:t>(more higher paying “early admission timing” cases because “late admission timing” cases could not occur, increasing average payment) which declined in subsequent months</w:t>
      </w:r>
      <w:r w:rsidR="00740789">
        <w:t xml:space="preserve">. Per-case payment rates </w:t>
      </w:r>
      <w:r w:rsidR="00CE669F">
        <w:t xml:space="preserve">declined </w:t>
      </w:r>
      <w:r w:rsidR="009359BE">
        <w:t>subsequently and have yet to recover to budget neutral levels</w:t>
      </w:r>
      <w:r w:rsidR="00FC0753">
        <w:t>.</w:t>
      </w:r>
    </w:p>
    <w:p w14:paraId="2CF350A8" w14:textId="1D5A9EFC" w:rsidR="00FF791F" w:rsidRDefault="00FF791F" w:rsidP="00FF791F">
      <w:pPr>
        <w:pStyle w:val="Caption"/>
        <w:ind w:right="1980"/>
      </w:pPr>
      <w:bookmarkStart w:id="2" w:name="_Ref48553994"/>
      <w:bookmarkStart w:id="3" w:name="_Ref48293600"/>
      <w:r>
        <w:t xml:space="preserve">Exhibit </w:t>
      </w:r>
      <w:fldSimple w:instr=" SEQ Exhibit \* ARABIC ">
        <w:r w:rsidR="004B3AC4">
          <w:rPr>
            <w:noProof/>
          </w:rPr>
          <w:t>1</w:t>
        </w:r>
      </w:fldSimple>
      <w:bookmarkEnd w:id="2"/>
      <w:bookmarkEnd w:id="3"/>
      <w:r>
        <w:t xml:space="preserve">: </w:t>
      </w:r>
      <w:r w:rsidRPr="00B0728D">
        <w:t>Actual CY2020 Claims Average Case Payments vs. Projected Ca</w:t>
      </w:r>
      <w:r>
        <w:t>s</w:t>
      </w:r>
      <w:r w:rsidRPr="00B0728D">
        <w:t>e Payments with and without Behavioral Adjustments</w:t>
      </w:r>
    </w:p>
    <w:p w14:paraId="0D6A117B" w14:textId="685AE5F0" w:rsidR="00FF791F" w:rsidRDefault="002B56AB" w:rsidP="00FC0753">
      <w:pPr>
        <w:spacing w:after="0"/>
        <w:ind w:right="0"/>
        <w:rPr>
          <w:rFonts w:cstheme="minorHAnsi"/>
        </w:rPr>
      </w:pPr>
      <w:r w:rsidRPr="002B56AB">
        <w:rPr>
          <w:noProof/>
        </w:rPr>
        <w:t xml:space="preserve"> </w:t>
      </w:r>
      <w:r w:rsidR="00380000">
        <w:rPr>
          <w:noProof/>
        </w:rPr>
        <w:drawing>
          <wp:inline distT="0" distB="0" distL="0" distR="0" wp14:anchorId="1B53E39D" wp14:editId="7A3F218A">
            <wp:extent cx="5461283" cy="2398542"/>
            <wp:effectExtent l="0" t="0" r="635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1265" cy="2424886"/>
                    </a:xfrm>
                    <a:prstGeom prst="rect">
                      <a:avLst/>
                    </a:prstGeom>
                    <a:noFill/>
                  </pic:spPr>
                </pic:pic>
              </a:graphicData>
            </a:graphic>
          </wp:inline>
        </w:drawing>
      </w:r>
    </w:p>
    <w:p w14:paraId="392D43FF" w14:textId="77777777" w:rsidR="00FC0753" w:rsidRPr="00FC0753" w:rsidRDefault="00FC0753" w:rsidP="00DE7E90">
      <w:pPr>
        <w:ind w:right="0"/>
        <w:rPr>
          <w:rFonts w:cstheme="minorHAnsi"/>
          <w:i/>
          <w:iCs/>
          <w:sz w:val="18"/>
          <w:szCs w:val="18"/>
        </w:rPr>
      </w:pPr>
      <w:r w:rsidRPr="00FC0753">
        <w:rPr>
          <w:rFonts w:cstheme="minorHAnsi"/>
          <w:i/>
          <w:iCs/>
          <w:sz w:val="18"/>
          <w:szCs w:val="18"/>
        </w:rPr>
        <w:t>Source: Dobson | DaVanzo Analysis of HH Claims in DUAs LDS 53367 and RIF 54757</w:t>
      </w:r>
    </w:p>
    <w:p w14:paraId="71C3AD44" w14:textId="6C2E1CEF" w:rsidR="00FB25B1" w:rsidRDefault="00892AC2" w:rsidP="00DE7E90">
      <w:pPr>
        <w:ind w:right="0"/>
        <w:rPr>
          <w:rFonts w:cstheme="minorHAnsi"/>
        </w:rPr>
      </w:pPr>
      <w:r>
        <w:rPr>
          <w:rFonts w:cstheme="minorHAnsi"/>
        </w:rPr>
        <w:lastRenderedPageBreak/>
        <w:t>Total HH PPS payments have declined for this period as well. For the January-</w:t>
      </w:r>
      <w:r w:rsidR="00FB25B1">
        <w:rPr>
          <w:rFonts w:cstheme="minorHAnsi"/>
        </w:rPr>
        <w:t xml:space="preserve">June </w:t>
      </w:r>
      <w:r>
        <w:rPr>
          <w:rFonts w:cstheme="minorHAnsi"/>
        </w:rPr>
        <w:t>period</w:t>
      </w:r>
      <w:r w:rsidR="006866DD">
        <w:rPr>
          <w:rFonts w:cstheme="minorHAnsi"/>
        </w:rPr>
        <w:t>, we found that overall case payments</w:t>
      </w:r>
      <w:r>
        <w:rPr>
          <w:rFonts w:cstheme="minorHAnsi"/>
        </w:rPr>
        <w:t xml:space="preserve"> declined by </w:t>
      </w:r>
      <w:r w:rsidR="00FB25B1">
        <w:rPr>
          <w:rFonts w:cstheme="minorHAnsi"/>
        </w:rPr>
        <w:t>over 18</w:t>
      </w:r>
      <w:r>
        <w:rPr>
          <w:rFonts w:cstheme="minorHAnsi"/>
        </w:rPr>
        <w:t xml:space="preserve">%. Low </w:t>
      </w:r>
      <w:r w:rsidR="00740789">
        <w:rPr>
          <w:rFonts w:cstheme="minorHAnsi"/>
        </w:rPr>
        <w:t xml:space="preserve">total </w:t>
      </w:r>
      <w:r>
        <w:rPr>
          <w:rFonts w:cstheme="minorHAnsi"/>
        </w:rPr>
        <w:t xml:space="preserve">case payments in January are </w:t>
      </w:r>
      <w:r w:rsidR="00FB25B1">
        <w:rPr>
          <w:rFonts w:cstheme="minorHAnsi"/>
        </w:rPr>
        <w:t xml:space="preserve">partially </w:t>
      </w:r>
      <w:r>
        <w:rPr>
          <w:rFonts w:cstheme="minorHAnsi"/>
        </w:rPr>
        <w:t xml:space="preserve">due to transition effects (we measure claims by admission date), and February may be </w:t>
      </w:r>
      <w:r w:rsidR="00740789">
        <w:rPr>
          <w:rFonts w:cstheme="minorHAnsi"/>
        </w:rPr>
        <w:t>similarly</w:t>
      </w:r>
      <w:r>
        <w:rPr>
          <w:rFonts w:cstheme="minorHAnsi"/>
        </w:rPr>
        <w:t xml:space="preserve"> affected. </w:t>
      </w:r>
    </w:p>
    <w:p w14:paraId="285A00F9" w14:textId="4BFF7474" w:rsidR="00FB25B1" w:rsidRDefault="00FB25B1" w:rsidP="00DE7E90">
      <w:pPr>
        <w:ind w:right="0"/>
        <w:rPr>
          <w:rFonts w:cstheme="minorHAnsi"/>
        </w:rPr>
      </w:pPr>
      <w:r>
        <w:rPr>
          <w:rFonts w:cstheme="minorHAnsi"/>
        </w:rPr>
        <w:t xml:space="preserve">In </w:t>
      </w:r>
      <w:r w:rsidR="007C68D3">
        <w:rPr>
          <w:rFonts w:cstheme="minorHAnsi"/>
        </w:rPr>
        <w:fldChar w:fldCharType="begin"/>
      </w:r>
      <w:r w:rsidR="007C68D3">
        <w:rPr>
          <w:rFonts w:cstheme="minorHAnsi"/>
        </w:rPr>
        <w:instrText xml:space="preserve"> REF _Ref53482850 \h </w:instrText>
      </w:r>
      <w:r w:rsidR="007C68D3">
        <w:rPr>
          <w:rFonts w:cstheme="minorHAnsi"/>
        </w:rPr>
      </w:r>
      <w:r w:rsidR="007C68D3">
        <w:rPr>
          <w:rFonts w:cstheme="minorHAnsi"/>
        </w:rPr>
        <w:fldChar w:fldCharType="separate"/>
      </w:r>
      <w:r w:rsidR="007C68D3">
        <w:t xml:space="preserve">Exhibit </w:t>
      </w:r>
      <w:r w:rsidR="007C68D3">
        <w:rPr>
          <w:noProof/>
        </w:rPr>
        <w:t>2</w:t>
      </w:r>
      <w:r w:rsidR="007C68D3">
        <w:rPr>
          <w:rFonts w:cstheme="minorHAnsi"/>
        </w:rPr>
        <w:fldChar w:fldCharType="end"/>
      </w:r>
      <w:r>
        <w:rPr>
          <w:rFonts w:cstheme="minorHAnsi"/>
        </w:rPr>
        <w:t xml:space="preserve"> we make a </w:t>
      </w:r>
      <w:r w:rsidR="0010168E">
        <w:rPr>
          <w:rFonts w:cstheme="minorHAnsi"/>
        </w:rPr>
        <w:t>additional</w:t>
      </w:r>
      <w:r>
        <w:rPr>
          <w:rFonts w:cstheme="minorHAnsi"/>
        </w:rPr>
        <w:t xml:space="preserve"> adjustment to account for the fact that the </w:t>
      </w:r>
      <w:r w:rsidR="0010168E">
        <w:rPr>
          <w:rFonts w:cstheme="minorHAnsi"/>
        </w:rPr>
        <w:t>rate setting file projections assumed a continuous roll-over of PDGM from a prior year. In actuality, the system transitioned from the 153-group HHRG system</w:t>
      </w:r>
      <w:r w:rsidR="00F74A35">
        <w:rPr>
          <w:rFonts w:cstheme="minorHAnsi"/>
        </w:rPr>
        <w:t>,</w:t>
      </w:r>
      <w:r w:rsidR="0010168E">
        <w:rPr>
          <w:rFonts w:cstheme="minorHAnsi"/>
        </w:rPr>
        <w:t xml:space="preserve"> and 60-day episodes in progress did not automatically convert to PDGM 30-day cases. To </w:t>
      </w:r>
      <w:r w:rsidR="00B27D52">
        <w:rPr>
          <w:rFonts w:cstheme="minorHAnsi"/>
        </w:rPr>
        <w:t xml:space="preserve">account for this </w:t>
      </w:r>
      <w:r w:rsidR="00B13873">
        <w:rPr>
          <w:rFonts w:cstheme="minorHAnsi"/>
        </w:rPr>
        <w:t>non-</w:t>
      </w:r>
      <w:r w:rsidR="00B27D52">
        <w:rPr>
          <w:rFonts w:cstheme="minorHAnsi"/>
        </w:rPr>
        <w:t xml:space="preserve">rollover we applied an adjustment </w:t>
      </w:r>
      <w:r w:rsidR="008D1678">
        <w:rPr>
          <w:rFonts w:cstheme="minorHAnsi"/>
        </w:rPr>
        <w:t>to account for cases</w:t>
      </w:r>
      <w:r w:rsidR="00357150">
        <w:rPr>
          <w:rFonts w:cstheme="minorHAnsi"/>
        </w:rPr>
        <w:t xml:space="preserve"> that did not automatically covert to the 30-day PDGM system</w:t>
      </w:r>
      <w:r w:rsidR="008D1678">
        <w:rPr>
          <w:rFonts w:cstheme="minorHAnsi"/>
        </w:rPr>
        <w:t xml:space="preserve">. We did so by multiplying December 60-day case counts by a factor of 1.76 to convert </w:t>
      </w:r>
      <w:r w:rsidR="00357150">
        <w:rPr>
          <w:rFonts w:cstheme="minorHAnsi"/>
        </w:rPr>
        <w:t xml:space="preserve">to </w:t>
      </w:r>
      <w:r w:rsidR="008D1678">
        <w:rPr>
          <w:rFonts w:cstheme="minorHAnsi"/>
        </w:rPr>
        <w:t>30-day episodes, with 43% (0.76/1.76) of converted cases and  payments to be added to observed 2020 cases.</w:t>
      </w:r>
      <w:r w:rsidR="00374572">
        <w:rPr>
          <w:rStyle w:val="FootnoteReference"/>
          <w:rFonts w:cstheme="minorHAnsi"/>
        </w:rPr>
        <w:footnoteReference w:id="6"/>
      </w:r>
      <w:r w:rsidR="008D1678">
        <w:rPr>
          <w:rFonts w:cstheme="minorHAnsi"/>
        </w:rPr>
        <w:t xml:space="preserve"> This lowers the measured average January case payment to $1,880 (measured at $1,924 in </w:t>
      </w:r>
      <w:r w:rsidR="007C68D3">
        <w:rPr>
          <w:rFonts w:cstheme="minorHAnsi"/>
        </w:rPr>
        <w:fldChar w:fldCharType="begin"/>
      </w:r>
      <w:r w:rsidR="007C68D3">
        <w:rPr>
          <w:rFonts w:cstheme="minorHAnsi"/>
        </w:rPr>
        <w:instrText xml:space="preserve"> REF _Ref48553994 \h </w:instrText>
      </w:r>
      <w:r w:rsidR="007C68D3">
        <w:rPr>
          <w:rFonts w:cstheme="minorHAnsi"/>
        </w:rPr>
      </w:r>
      <w:r w:rsidR="007C68D3">
        <w:rPr>
          <w:rFonts w:cstheme="minorHAnsi"/>
        </w:rPr>
        <w:fldChar w:fldCharType="separate"/>
      </w:r>
      <w:r w:rsidR="007C68D3">
        <w:t xml:space="preserve">Exhibit </w:t>
      </w:r>
      <w:r w:rsidR="007C68D3">
        <w:rPr>
          <w:noProof/>
        </w:rPr>
        <w:t>1</w:t>
      </w:r>
      <w:r w:rsidR="007C68D3">
        <w:rPr>
          <w:rFonts w:cstheme="minorHAnsi"/>
        </w:rPr>
        <w:fldChar w:fldCharType="end"/>
      </w:r>
      <w:r w:rsidR="008D1678">
        <w:rPr>
          <w:rFonts w:cstheme="minorHAnsi"/>
        </w:rPr>
        <w:t xml:space="preserve">), but also adds </w:t>
      </w:r>
      <w:r w:rsidR="007C68D3">
        <w:rPr>
          <w:rFonts w:cstheme="minorHAnsi"/>
        </w:rPr>
        <w:t>more case</w:t>
      </w:r>
      <w:r w:rsidR="008D1678">
        <w:rPr>
          <w:rFonts w:cstheme="minorHAnsi"/>
        </w:rPr>
        <w:t xml:space="preserve"> weight to January, leading to an overall average case payment of $1,723 or 4.9% below budget neutral levels. </w:t>
      </w:r>
    </w:p>
    <w:p w14:paraId="036F2AF8" w14:textId="526C6467" w:rsidR="007C68D3" w:rsidRDefault="007C68D3" w:rsidP="004B18BB">
      <w:pPr>
        <w:pStyle w:val="Caption"/>
        <w:ind w:right="1890"/>
      </w:pPr>
      <w:bookmarkStart w:id="4" w:name="_Ref53482850"/>
      <w:r>
        <w:t xml:space="preserve">Exhibit </w:t>
      </w:r>
      <w:fldSimple w:instr=" SEQ Exhibit \* ARABIC ">
        <w:r w:rsidR="004B3AC4">
          <w:rPr>
            <w:noProof/>
          </w:rPr>
          <w:t>2</w:t>
        </w:r>
      </w:fldSimple>
      <w:bookmarkEnd w:id="4"/>
      <w:r>
        <w:t xml:space="preserve">: </w:t>
      </w:r>
      <w:r w:rsidRPr="00B0728D">
        <w:t>Actual CY2020 Claims Average Case Payments vs. Projected Ca</w:t>
      </w:r>
      <w:r>
        <w:t>s</w:t>
      </w:r>
      <w:r w:rsidRPr="00B0728D">
        <w:t>e Payments with and without Behavioral Adjustments</w:t>
      </w:r>
      <w:r>
        <w:t>, Adjusted for Non-Rollover of 153-Group System</w:t>
      </w:r>
    </w:p>
    <w:p w14:paraId="40DB523C" w14:textId="1BD73D38" w:rsidR="00FB25B1" w:rsidRDefault="00E61A5C" w:rsidP="004B18BB">
      <w:pPr>
        <w:spacing w:after="0"/>
        <w:ind w:right="0"/>
        <w:rPr>
          <w:rFonts w:cstheme="minorHAnsi"/>
        </w:rPr>
      </w:pPr>
      <w:r>
        <w:rPr>
          <w:rFonts w:cstheme="minorHAnsi"/>
          <w:noProof/>
        </w:rPr>
        <w:drawing>
          <wp:inline distT="0" distB="0" distL="0" distR="0" wp14:anchorId="5E7BA5C7" wp14:editId="0113616E">
            <wp:extent cx="5341620" cy="25527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59518" cy="2609124"/>
                    </a:xfrm>
                    <a:prstGeom prst="rect">
                      <a:avLst/>
                    </a:prstGeom>
                    <a:noFill/>
                  </pic:spPr>
                </pic:pic>
              </a:graphicData>
            </a:graphic>
          </wp:inline>
        </w:drawing>
      </w:r>
    </w:p>
    <w:p w14:paraId="1C72A37B" w14:textId="74F66B97" w:rsidR="008D1678" w:rsidRDefault="008D1678" w:rsidP="00DE7E90">
      <w:pPr>
        <w:ind w:right="0"/>
        <w:rPr>
          <w:rFonts w:cstheme="minorHAnsi"/>
        </w:rPr>
      </w:pPr>
      <w:r w:rsidRPr="00FC0753">
        <w:rPr>
          <w:rFonts w:cstheme="minorHAnsi"/>
          <w:i/>
          <w:iCs/>
          <w:sz w:val="18"/>
          <w:szCs w:val="18"/>
        </w:rPr>
        <w:t>Source: Dobson | DaVanzo Analysis of HH Claims in DUAs LDS 53367 and RIF 54757</w:t>
      </w:r>
    </w:p>
    <w:p w14:paraId="18965CD7" w14:textId="236567BD" w:rsidR="006866DD" w:rsidRDefault="00892AC2" w:rsidP="00DE7E90">
      <w:pPr>
        <w:ind w:right="0"/>
        <w:rPr>
          <w:rFonts w:cstheme="minorHAnsi"/>
        </w:rPr>
      </w:pPr>
      <w:r>
        <w:rPr>
          <w:rFonts w:cstheme="minorHAnsi"/>
        </w:rPr>
        <w:t xml:space="preserve">However, we do find substantial </w:t>
      </w:r>
      <w:r w:rsidR="007C68D3">
        <w:rPr>
          <w:rFonts w:cstheme="minorHAnsi"/>
        </w:rPr>
        <w:t xml:space="preserve">overall home health revenue </w:t>
      </w:r>
      <w:r>
        <w:rPr>
          <w:rFonts w:cstheme="minorHAnsi"/>
        </w:rPr>
        <w:t xml:space="preserve">decreases </w:t>
      </w:r>
      <w:r w:rsidR="007C68D3">
        <w:rPr>
          <w:rFonts w:cstheme="minorHAnsi"/>
        </w:rPr>
        <w:t xml:space="preserve">particularly in March through June, </w:t>
      </w:r>
      <w:r>
        <w:rPr>
          <w:rFonts w:cstheme="minorHAnsi"/>
        </w:rPr>
        <w:t>most likely the primary contributor</w:t>
      </w:r>
      <w:r w:rsidR="00F74A35">
        <w:rPr>
          <w:rFonts w:cstheme="minorHAnsi"/>
        </w:rPr>
        <w:t>s</w:t>
      </w:r>
      <w:r>
        <w:rPr>
          <w:rFonts w:cstheme="minorHAnsi"/>
        </w:rPr>
        <w:t xml:space="preserve"> being reduced volume and increased LUPAs as a result of the COVID-19 PHE</w:t>
      </w:r>
      <w:r w:rsidR="00FC0753">
        <w:rPr>
          <w:rFonts w:cstheme="minorHAnsi"/>
        </w:rPr>
        <w:t xml:space="preserve"> (</w:t>
      </w:r>
      <w:r w:rsidR="00FF791F">
        <w:rPr>
          <w:rFonts w:cstheme="minorHAnsi"/>
        </w:rPr>
        <w:fldChar w:fldCharType="begin"/>
      </w:r>
      <w:r w:rsidR="00FF791F">
        <w:rPr>
          <w:rFonts w:cstheme="minorHAnsi"/>
        </w:rPr>
        <w:instrText xml:space="preserve"> REF _Ref48553980 \h </w:instrText>
      </w:r>
      <w:r w:rsidR="00FF791F">
        <w:rPr>
          <w:rFonts w:cstheme="minorHAnsi"/>
        </w:rPr>
      </w:r>
      <w:r w:rsidR="00FF791F">
        <w:rPr>
          <w:rFonts w:cstheme="minorHAnsi"/>
        </w:rPr>
        <w:fldChar w:fldCharType="separate"/>
      </w:r>
      <w:r w:rsidR="007C68D3">
        <w:t xml:space="preserve">Exhibit </w:t>
      </w:r>
      <w:r w:rsidR="007C68D3">
        <w:rPr>
          <w:noProof/>
        </w:rPr>
        <w:t>3</w:t>
      </w:r>
      <w:r w:rsidR="00FF791F">
        <w:rPr>
          <w:rFonts w:cstheme="minorHAnsi"/>
        </w:rPr>
        <w:fldChar w:fldCharType="end"/>
      </w:r>
      <w:r w:rsidR="007C68D3">
        <w:rPr>
          <w:rFonts w:cstheme="minorHAnsi"/>
        </w:rPr>
        <w:t xml:space="preserve"> and </w:t>
      </w:r>
      <w:r w:rsidR="00192DA2">
        <w:rPr>
          <w:rFonts w:cstheme="minorHAnsi"/>
        </w:rPr>
        <w:fldChar w:fldCharType="begin"/>
      </w:r>
      <w:r w:rsidR="00192DA2">
        <w:rPr>
          <w:rFonts w:cstheme="minorHAnsi"/>
        </w:rPr>
        <w:instrText xml:space="preserve"> REF _Ref53483357 \h </w:instrText>
      </w:r>
      <w:r w:rsidR="00192DA2">
        <w:rPr>
          <w:rFonts w:cstheme="minorHAnsi"/>
        </w:rPr>
      </w:r>
      <w:r w:rsidR="00192DA2">
        <w:rPr>
          <w:rFonts w:cstheme="minorHAnsi"/>
        </w:rPr>
        <w:fldChar w:fldCharType="separate"/>
      </w:r>
      <w:r w:rsidR="00192DA2">
        <w:t xml:space="preserve">Exhibit </w:t>
      </w:r>
      <w:r w:rsidR="00192DA2">
        <w:rPr>
          <w:noProof/>
        </w:rPr>
        <w:t>4</w:t>
      </w:r>
      <w:r w:rsidR="00192DA2">
        <w:rPr>
          <w:rFonts w:cstheme="minorHAnsi"/>
        </w:rPr>
        <w:fldChar w:fldCharType="end"/>
      </w:r>
      <w:r w:rsidR="00FC0753">
        <w:rPr>
          <w:rFonts w:cstheme="minorHAnsi"/>
        </w:rPr>
        <w:t>)</w:t>
      </w:r>
      <w:r>
        <w:rPr>
          <w:rFonts w:cstheme="minorHAnsi"/>
        </w:rPr>
        <w:t xml:space="preserve">.  </w:t>
      </w:r>
    </w:p>
    <w:p w14:paraId="0449714A" w14:textId="108BDD22" w:rsidR="00CE669F" w:rsidRDefault="00CE669F" w:rsidP="00DE7E90">
      <w:pPr>
        <w:ind w:right="0"/>
        <w:rPr>
          <w:rFonts w:cstheme="minorHAnsi"/>
        </w:rPr>
      </w:pPr>
    </w:p>
    <w:p w14:paraId="60AF0C22" w14:textId="77777777" w:rsidR="00CE669F" w:rsidRDefault="00CE669F" w:rsidP="00DE7E90">
      <w:pPr>
        <w:ind w:right="0"/>
        <w:rPr>
          <w:rFonts w:cstheme="minorHAnsi"/>
        </w:rPr>
      </w:pPr>
    </w:p>
    <w:p w14:paraId="19482131" w14:textId="644404F8" w:rsidR="00FF791F" w:rsidRDefault="00FF791F" w:rsidP="00CE669F">
      <w:pPr>
        <w:pStyle w:val="Caption"/>
        <w:ind w:right="2340"/>
      </w:pPr>
      <w:bookmarkStart w:id="5" w:name="_Ref48553980"/>
      <w:bookmarkStart w:id="6" w:name="_Ref48294075"/>
      <w:r>
        <w:lastRenderedPageBreak/>
        <w:t xml:space="preserve">Exhibit </w:t>
      </w:r>
      <w:fldSimple w:instr=" SEQ Exhibit \* ARABIC ">
        <w:r w:rsidR="004B3AC4">
          <w:rPr>
            <w:noProof/>
          </w:rPr>
          <w:t>3</w:t>
        </w:r>
      </w:fldSimple>
      <w:bookmarkEnd w:id="5"/>
      <w:bookmarkEnd w:id="6"/>
      <w:r>
        <w:t>:</w:t>
      </w:r>
      <w:r w:rsidRPr="00FF791F">
        <w:t xml:space="preserve"> </w:t>
      </w:r>
      <w:r>
        <w:t>Actual Total CY2020 Medicare HH Case Payments Compared to Projected Total Payments (with and without Behavioral Assumptions)</w:t>
      </w:r>
    </w:p>
    <w:p w14:paraId="06732DD8" w14:textId="34538B00" w:rsidR="008907E7" w:rsidRPr="00FC0753" w:rsidRDefault="008907E7" w:rsidP="00FC0753">
      <w:pPr>
        <w:spacing w:after="0"/>
      </w:pPr>
      <w:r>
        <w:rPr>
          <w:noProof/>
        </w:rPr>
        <w:drawing>
          <wp:inline distT="0" distB="0" distL="0" distR="0" wp14:anchorId="04083F71" wp14:editId="42F4D58A">
            <wp:extent cx="5303520" cy="26671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9558" cy="2710383"/>
                    </a:xfrm>
                    <a:prstGeom prst="rect">
                      <a:avLst/>
                    </a:prstGeom>
                    <a:noFill/>
                  </pic:spPr>
                </pic:pic>
              </a:graphicData>
            </a:graphic>
          </wp:inline>
        </w:drawing>
      </w:r>
    </w:p>
    <w:p w14:paraId="7F2E1430" w14:textId="77777777" w:rsidR="00FC0753" w:rsidRPr="00FC0753" w:rsidRDefault="00FC0753" w:rsidP="00FC0753">
      <w:pPr>
        <w:spacing w:after="0"/>
        <w:ind w:right="0"/>
        <w:rPr>
          <w:rFonts w:cstheme="minorHAnsi"/>
          <w:i/>
          <w:iCs/>
          <w:sz w:val="18"/>
          <w:szCs w:val="18"/>
        </w:rPr>
      </w:pPr>
      <w:r w:rsidRPr="00FC0753">
        <w:rPr>
          <w:noProof/>
        </w:rPr>
        <w:t xml:space="preserve"> </w:t>
      </w:r>
      <w:r w:rsidRPr="00FC0753">
        <w:rPr>
          <w:rFonts w:cstheme="minorHAnsi"/>
          <w:i/>
          <w:iCs/>
          <w:sz w:val="18"/>
          <w:szCs w:val="18"/>
        </w:rPr>
        <w:t>Source: Dobson | DaVanzo Analysis of HH Claims in DUAs LDS 53367 and RIF 54757</w:t>
      </w:r>
    </w:p>
    <w:p w14:paraId="25C968E7" w14:textId="17807C46" w:rsidR="00FC0753" w:rsidRDefault="00FC0753" w:rsidP="00DE7E90">
      <w:pPr>
        <w:ind w:right="0"/>
        <w:rPr>
          <w:rFonts w:cstheme="minorHAnsi"/>
        </w:rPr>
      </w:pPr>
    </w:p>
    <w:p w14:paraId="68FC189A" w14:textId="5DCEA122" w:rsidR="007C68D3" w:rsidRPr="004B18BB" w:rsidRDefault="007C68D3" w:rsidP="004B18BB">
      <w:pPr>
        <w:ind w:right="0"/>
        <w:rPr>
          <w:rFonts w:cstheme="minorHAnsi"/>
        </w:rPr>
      </w:pPr>
      <w:r>
        <w:rPr>
          <w:rFonts w:cstheme="minorHAnsi"/>
        </w:rPr>
        <w:t xml:space="preserve">Once again, we demonstrate the addition of an adjustment for December-to-January roll-over. To simulate roll-over from the 153-group system by converting 60-day periods to 30-day periods, we spread payments for 60-day cases that began in December across December and January.  </w:t>
      </w:r>
      <w:r w:rsidRPr="00FB25B1">
        <w:rPr>
          <w:noProof/>
        </w:rPr>
        <w:t xml:space="preserve"> </w:t>
      </w:r>
    </w:p>
    <w:p w14:paraId="2A48C94D" w14:textId="77A12959" w:rsidR="007C68D3" w:rsidRDefault="007C68D3" w:rsidP="00CE669F">
      <w:pPr>
        <w:pStyle w:val="Caption"/>
        <w:ind w:right="990"/>
      </w:pPr>
      <w:bookmarkStart w:id="7" w:name="_Ref53483357"/>
      <w:r>
        <w:t xml:space="preserve">Exhibit </w:t>
      </w:r>
      <w:fldSimple w:instr=" SEQ Exhibit \* ARABIC ">
        <w:r w:rsidR="004B3AC4">
          <w:rPr>
            <w:noProof/>
          </w:rPr>
          <w:t>4</w:t>
        </w:r>
      </w:fldSimple>
      <w:bookmarkEnd w:id="7"/>
      <w:r>
        <w:t>:</w:t>
      </w:r>
      <w:r w:rsidRPr="00FF791F">
        <w:t xml:space="preserve"> </w:t>
      </w:r>
      <w:r>
        <w:t>Actual Total CY2020 Medicare HH Case Payments Compared to Projected Total Payments (with and without Behavioral Assumptions), Adjusted for Non-Rollover of 153-Group System</w:t>
      </w:r>
    </w:p>
    <w:p w14:paraId="600CBA82" w14:textId="2B95658D" w:rsidR="008907E7" w:rsidRPr="00FC0753" w:rsidRDefault="008907E7" w:rsidP="007C68D3">
      <w:pPr>
        <w:spacing w:after="0"/>
      </w:pPr>
      <w:r>
        <w:rPr>
          <w:noProof/>
        </w:rPr>
        <w:drawing>
          <wp:inline distT="0" distB="0" distL="0" distR="0" wp14:anchorId="1D65925D" wp14:editId="1237ED65">
            <wp:extent cx="5227320" cy="248527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6470" cy="2541925"/>
                    </a:xfrm>
                    <a:prstGeom prst="rect">
                      <a:avLst/>
                    </a:prstGeom>
                    <a:noFill/>
                  </pic:spPr>
                </pic:pic>
              </a:graphicData>
            </a:graphic>
          </wp:inline>
        </w:drawing>
      </w:r>
    </w:p>
    <w:p w14:paraId="3F2DC332" w14:textId="77777777" w:rsidR="007C68D3" w:rsidRPr="00FC0753" w:rsidRDefault="007C68D3" w:rsidP="007C68D3">
      <w:pPr>
        <w:spacing w:after="0"/>
        <w:ind w:right="0"/>
        <w:rPr>
          <w:rFonts w:cstheme="minorHAnsi"/>
          <w:i/>
          <w:iCs/>
          <w:sz w:val="18"/>
          <w:szCs w:val="18"/>
        </w:rPr>
      </w:pPr>
      <w:r w:rsidRPr="00FC0753">
        <w:rPr>
          <w:noProof/>
        </w:rPr>
        <w:t xml:space="preserve"> </w:t>
      </w:r>
      <w:r w:rsidRPr="00FC0753">
        <w:rPr>
          <w:rFonts w:cstheme="minorHAnsi"/>
          <w:i/>
          <w:iCs/>
          <w:sz w:val="18"/>
          <w:szCs w:val="18"/>
        </w:rPr>
        <w:t>Source: Dobson | DaVanzo Analysis of HH Claims in DUAs LDS 53367 and RIF 54757</w:t>
      </w:r>
    </w:p>
    <w:p w14:paraId="7C2AD6A6" w14:textId="760BB522" w:rsidR="007C68D3" w:rsidRDefault="007C68D3" w:rsidP="00DE7E90">
      <w:pPr>
        <w:ind w:right="0"/>
        <w:rPr>
          <w:rFonts w:cstheme="minorHAnsi"/>
        </w:rPr>
      </w:pPr>
    </w:p>
    <w:p w14:paraId="3A30D55C" w14:textId="4E4EA20E" w:rsidR="00192DA2" w:rsidRDefault="00192DA2" w:rsidP="00DE7E90">
      <w:pPr>
        <w:ind w:right="0"/>
        <w:rPr>
          <w:rFonts w:cstheme="minorHAnsi"/>
        </w:rPr>
      </w:pPr>
      <w:r>
        <w:rPr>
          <w:rFonts w:cstheme="minorHAnsi"/>
        </w:rPr>
        <w:lastRenderedPageBreak/>
        <w:t xml:space="preserve">Overall, we estimate that January-June 2020, the HH PPS payment system </w:t>
      </w:r>
      <w:r w:rsidR="00B912F8">
        <w:rPr>
          <w:rFonts w:cstheme="minorHAnsi"/>
        </w:rPr>
        <w:t xml:space="preserve">output </w:t>
      </w:r>
      <w:r>
        <w:rPr>
          <w:rFonts w:cstheme="minorHAnsi"/>
        </w:rPr>
        <w:t>is 12.5-18.3% below anticipated</w:t>
      </w:r>
      <w:r w:rsidR="00826D93">
        <w:rPr>
          <w:rFonts w:cstheme="minorHAnsi"/>
        </w:rPr>
        <w:t xml:space="preserve"> payment</w:t>
      </w:r>
      <w:r>
        <w:rPr>
          <w:rFonts w:cstheme="minorHAnsi"/>
        </w:rPr>
        <w:t xml:space="preserve"> levels, depending on the adjustment approach taken for January cases. </w:t>
      </w:r>
    </w:p>
    <w:p w14:paraId="3ACA3C50" w14:textId="77777777" w:rsidR="00DB2370" w:rsidRDefault="00DB2370" w:rsidP="00DB2370">
      <w:pPr>
        <w:pStyle w:val="Heading3"/>
      </w:pPr>
      <w:r>
        <w:t>Case Volume Shortfall</w:t>
      </w:r>
    </w:p>
    <w:p w14:paraId="7B788D18" w14:textId="01EE70A5" w:rsidR="00DB2370" w:rsidRPr="00DB2370" w:rsidRDefault="00DB2370" w:rsidP="00DB2370">
      <w:pPr>
        <w:tabs>
          <w:tab w:val="left" w:pos="7740"/>
        </w:tabs>
        <w:ind w:right="0"/>
        <w:rPr>
          <w:bCs/>
          <w:i/>
          <w:iCs/>
        </w:rPr>
      </w:pPr>
      <w:r w:rsidRPr="00A55932">
        <w:t xml:space="preserve">We </w:t>
      </w:r>
      <w:r>
        <w:t>observe significant changes in home health volumes in the first third of 2020. This can in part be explained by the shift from 60-day to 30-day episode</w:t>
      </w:r>
      <w:r w:rsidR="00B912F8">
        <w:t>s</w:t>
      </w:r>
      <w:r>
        <w:t xml:space="preserve"> of care</w:t>
      </w:r>
      <w:r w:rsidR="001419A6">
        <w:t xml:space="preserve">, but is largely </w:t>
      </w:r>
      <w:r>
        <w:t>due to the onset of the COVID-19 PHE.</w:t>
      </w:r>
      <w:r w:rsidRPr="00A55932">
        <w:t xml:space="preserve"> </w:t>
      </w:r>
    </w:p>
    <w:p w14:paraId="7703D7AB" w14:textId="3AF552DA" w:rsidR="00007185" w:rsidRDefault="00892AC2" w:rsidP="00DE7E90">
      <w:pPr>
        <w:ind w:right="0"/>
        <w:rPr>
          <w:rFonts w:cstheme="minorHAnsi"/>
        </w:rPr>
      </w:pPr>
      <w:r>
        <w:rPr>
          <w:rFonts w:cstheme="minorHAnsi"/>
        </w:rPr>
        <w:t xml:space="preserve">Case volume has </w:t>
      </w:r>
      <w:r w:rsidR="00DB2370">
        <w:rPr>
          <w:rFonts w:cstheme="minorHAnsi"/>
        </w:rPr>
        <w:t>declined</w:t>
      </w:r>
      <w:r>
        <w:rPr>
          <w:rFonts w:cstheme="minorHAnsi"/>
        </w:rPr>
        <w:t xml:space="preserve"> in this period</w:t>
      </w:r>
      <w:r w:rsidR="00FC0753">
        <w:rPr>
          <w:rFonts w:cstheme="minorHAnsi"/>
        </w:rPr>
        <w:t xml:space="preserve"> as shown in </w:t>
      </w:r>
      <w:r w:rsidR="00FF791F">
        <w:rPr>
          <w:rFonts w:cstheme="minorHAnsi"/>
        </w:rPr>
        <w:fldChar w:fldCharType="begin"/>
      </w:r>
      <w:r w:rsidR="00FF791F">
        <w:rPr>
          <w:rFonts w:cstheme="minorHAnsi"/>
        </w:rPr>
        <w:instrText xml:space="preserve"> REF _Ref48554008 \h </w:instrText>
      </w:r>
      <w:r w:rsidR="00FF791F">
        <w:rPr>
          <w:rFonts w:cstheme="minorHAnsi"/>
        </w:rPr>
      </w:r>
      <w:r w:rsidR="00FF791F">
        <w:rPr>
          <w:rFonts w:cstheme="minorHAnsi"/>
        </w:rPr>
        <w:fldChar w:fldCharType="separate"/>
      </w:r>
      <w:r w:rsidR="00007185">
        <w:t xml:space="preserve">Exhibit </w:t>
      </w:r>
      <w:r w:rsidR="00007185">
        <w:rPr>
          <w:noProof/>
        </w:rPr>
        <w:t>5</w:t>
      </w:r>
      <w:r w:rsidR="00FF791F">
        <w:rPr>
          <w:rFonts w:cstheme="minorHAnsi"/>
        </w:rPr>
        <w:fldChar w:fldCharType="end"/>
      </w:r>
      <w:r w:rsidR="00740789">
        <w:rPr>
          <w:rFonts w:cstheme="minorHAnsi"/>
        </w:rPr>
        <w:t>.</w:t>
      </w:r>
      <w:r w:rsidR="00FF791F">
        <w:rPr>
          <w:rFonts w:cstheme="minorHAnsi"/>
        </w:rPr>
        <w:t xml:space="preserve"> </w:t>
      </w:r>
      <w:r w:rsidR="00860B5C">
        <w:rPr>
          <w:rFonts w:cstheme="minorHAnsi"/>
        </w:rPr>
        <w:t>January actual case counts are lower than anticipated largely due to the transition to PDGM</w:t>
      </w:r>
      <w:r w:rsidR="00C55E62">
        <w:rPr>
          <w:rFonts w:cstheme="minorHAnsi"/>
        </w:rPr>
        <w:t xml:space="preserve"> (</w:t>
      </w:r>
      <w:r w:rsidR="001419A6">
        <w:rPr>
          <w:rFonts w:cstheme="minorHAnsi"/>
        </w:rPr>
        <w:t xml:space="preserve">ongoing </w:t>
      </w:r>
      <w:r w:rsidR="00C55E62">
        <w:rPr>
          <w:rFonts w:cstheme="minorHAnsi"/>
        </w:rPr>
        <w:t>153 group system 60-day cases complete rather than switch to 30-day cases)</w:t>
      </w:r>
      <w:r w:rsidR="00007185">
        <w:rPr>
          <w:rFonts w:cstheme="minorHAnsi"/>
        </w:rPr>
        <w:t xml:space="preserve">; this is adjusted for in </w:t>
      </w:r>
      <w:r w:rsidR="00007185">
        <w:rPr>
          <w:rFonts w:cstheme="minorHAnsi"/>
        </w:rPr>
        <w:fldChar w:fldCharType="begin"/>
      </w:r>
      <w:r w:rsidR="00007185">
        <w:rPr>
          <w:rFonts w:cstheme="minorHAnsi"/>
        </w:rPr>
        <w:instrText xml:space="preserve"> REF _Ref53485993 \h </w:instrText>
      </w:r>
      <w:r w:rsidR="00007185">
        <w:rPr>
          <w:rFonts w:cstheme="minorHAnsi"/>
        </w:rPr>
      </w:r>
      <w:r w:rsidR="00007185">
        <w:rPr>
          <w:rFonts w:cstheme="minorHAnsi"/>
        </w:rPr>
        <w:fldChar w:fldCharType="separate"/>
      </w:r>
      <w:r w:rsidR="00007185">
        <w:t xml:space="preserve">Exhibit </w:t>
      </w:r>
      <w:r w:rsidR="00007185">
        <w:rPr>
          <w:noProof/>
        </w:rPr>
        <w:t>6</w:t>
      </w:r>
      <w:r w:rsidR="00007185">
        <w:rPr>
          <w:rFonts w:cstheme="minorHAnsi"/>
        </w:rPr>
        <w:fldChar w:fldCharType="end"/>
      </w:r>
      <w:r w:rsidR="00860B5C">
        <w:rPr>
          <w:rFonts w:cstheme="minorHAnsi"/>
        </w:rPr>
        <w:t>. Case counts in February</w:t>
      </w:r>
      <w:r w:rsidR="00DB2370">
        <w:rPr>
          <w:rFonts w:cstheme="minorHAnsi"/>
        </w:rPr>
        <w:t xml:space="preserve"> (when the transition to PDGM is mostly complete) </w:t>
      </w:r>
      <w:r w:rsidR="00860B5C">
        <w:rPr>
          <w:rFonts w:cstheme="minorHAnsi"/>
        </w:rPr>
        <w:t>were close to projected levels</w:t>
      </w:r>
      <w:r w:rsidR="00740789">
        <w:rPr>
          <w:rFonts w:cstheme="minorHAnsi"/>
        </w:rPr>
        <w:t xml:space="preserve"> (2% lower than expected)</w:t>
      </w:r>
      <w:r w:rsidR="00860B5C">
        <w:rPr>
          <w:rFonts w:cstheme="minorHAnsi"/>
        </w:rPr>
        <w:t xml:space="preserve">. Case volume is reduced in March </w:t>
      </w:r>
      <w:r w:rsidR="00007185">
        <w:rPr>
          <w:rFonts w:cstheme="minorHAnsi"/>
        </w:rPr>
        <w:t>through June with the nadir in April</w:t>
      </w:r>
      <w:r w:rsidR="00860B5C">
        <w:rPr>
          <w:rFonts w:cstheme="minorHAnsi"/>
        </w:rPr>
        <w:t>, likely due to the COVID-19 PHE and widespread state-level countermeasures being enacted at the beginning of March. January-</w:t>
      </w:r>
      <w:r w:rsidR="00007185">
        <w:rPr>
          <w:rFonts w:cstheme="minorHAnsi"/>
        </w:rPr>
        <w:t>June volume ranges from a reduction of 13.9% (</w:t>
      </w:r>
      <w:r w:rsidR="00007185">
        <w:rPr>
          <w:rFonts w:cstheme="minorHAnsi"/>
        </w:rPr>
        <w:fldChar w:fldCharType="begin"/>
      </w:r>
      <w:r w:rsidR="00007185">
        <w:rPr>
          <w:rFonts w:cstheme="minorHAnsi"/>
        </w:rPr>
        <w:instrText xml:space="preserve"> REF _Ref48554008 \h </w:instrText>
      </w:r>
      <w:r w:rsidR="00007185">
        <w:rPr>
          <w:rFonts w:cstheme="minorHAnsi"/>
        </w:rPr>
      </w:r>
      <w:r w:rsidR="00007185">
        <w:rPr>
          <w:rFonts w:cstheme="minorHAnsi"/>
        </w:rPr>
        <w:fldChar w:fldCharType="separate"/>
      </w:r>
      <w:r w:rsidR="00007185">
        <w:t xml:space="preserve">Exhibit </w:t>
      </w:r>
      <w:r w:rsidR="00007185">
        <w:rPr>
          <w:noProof/>
        </w:rPr>
        <w:t>5</w:t>
      </w:r>
      <w:r w:rsidR="00007185">
        <w:rPr>
          <w:rFonts w:cstheme="minorHAnsi"/>
        </w:rPr>
        <w:fldChar w:fldCharType="end"/>
      </w:r>
      <w:r w:rsidR="00007185">
        <w:rPr>
          <w:rFonts w:cstheme="minorHAnsi"/>
        </w:rPr>
        <w:t>) to 8.0% (</w:t>
      </w:r>
      <w:r w:rsidR="00007185">
        <w:rPr>
          <w:rFonts w:cstheme="minorHAnsi"/>
        </w:rPr>
        <w:fldChar w:fldCharType="begin"/>
      </w:r>
      <w:r w:rsidR="00007185">
        <w:rPr>
          <w:rFonts w:cstheme="minorHAnsi"/>
        </w:rPr>
        <w:instrText xml:space="preserve"> REF _Ref53485993 \h </w:instrText>
      </w:r>
      <w:r w:rsidR="00007185">
        <w:rPr>
          <w:rFonts w:cstheme="minorHAnsi"/>
        </w:rPr>
      </w:r>
      <w:r w:rsidR="00007185">
        <w:rPr>
          <w:rFonts w:cstheme="minorHAnsi"/>
        </w:rPr>
        <w:fldChar w:fldCharType="separate"/>
      </w:r>
      <w:r w:rsidR="00007185">
        <w:t xml:space="preserve">Exhibit </w:t>
      </w:r>
      <w:r w:rsidR="00007185">
        <w:rPr>
          <w:noProof/>
        </w:rPr>
        <w:t>6</w:t>
      </w:r>
      <w:r w:rsidR="00007185">
        <w:rPr>
          <w:rFonts w:cstheme="minorHAnsi"/>
        </w:rPr>
        <w:fldChar w:fldCharType="end"/>
      </w:r>
      <w:r w:rsidR="00007185">
        <w:rPr>
          <w:rFonts w:cstheme="minorHAnsi"/>
        </w:rPr>
        <w:t xml:space="preserve">), depending on the adjustment approach for January. </w:t>
      </w:r>
    </w:p>
    <w:p w14:paraId="5AC9CF39" w14:textId="33640CB6" w:rsidR="007A4D24" w:rsidRDefault="00860B5C" w:rsidP="00DE7E90">
      <w:pPr>
        <w:ind w:right="0"/>
        <w:rPr>
          <w:rFonts w:cstheme="minorHAnsi"/>
        </w:rPr>
      </w:pPr>
      <w:r w:rsidRPr="00892AC2">
        <w:rPr>
          <w:rFonts w:cstheme="minorHAnsi"/>
        </w:rPr>
        <w:t xml:space="preserve">Note that </w:t>
      </w:r>
      <w:r w:rsidR="00007185">
        <w:rPr>
          <w:rFonts w:cstheme="minorHAnsi"/>
        </w:rPr>
        <w:t xml:space="preserve">these </w:t>
      </w:r>
      <w:r w:rsidRPr="00892AC2">
        <w:rPr>
          <w:rFonts w:cstheme="minorHAnsi"/>
        </w:rPr>
        <w:t xml:space="preserve">estimates </w:t>
      </w:r>
      <w:r w:rsidR="00892AC2">
        <w:rPr>
          <w:rFonts w:cstheme="minorHAnsi"/>
        </w:rPr>
        <w:t xml:space="preserve">of the shortfall on case volume and total payments may be low </w:t>
      </w:r>
      <w:r w:rsidRPr="00892AC2">
        <w:rPr>
          <w:rFonts w:cstheme="minorHAnsi"/>
        </w:rPr>
        <w:t xml:space="preserve">because the rate-setting file included substantial (and not fully specified) cleaning procedures that exclude more cases than would be </w:t>
      </w:r>
      <w:r w:rsidR="00826D93">
        <w:rPr>
          <w:rFonts w:cstheme="minorHAnsi"/>
        </w:rPr>
        <w:t>otherwise be</w:t>
      </w:r>
      <w:r w:rsidR="00826D93" w:rsidRPr="00892AC2">
        <w:rPr>
          <w:rFonts w:cstheme="minorHAnsi"/>
        </w:rPr>
        <w:t xml:space="preserve"> </w:t>
      </w:r>
      <w:r w:rsidRPr="00892AC2">
        <w:rPr>
          <w:rFonts w:cstheme="minorHAnsi"/>
        </w:rPr>
        <w:t>paid.</w:t>
      </w:r>
      <w:r>
        <w:rPr>
          <w:rFonts w:cstheme="minorHAnsi"/>
        </w:rPr>
        <w:t xml:space="preserve"> </w:t>
      </w:r>
    </w:p>
    <w:p w14:paraId="0B1FA124" w14:textId="707855A0" w:rsidR="00FF791F" w:rsidRDefault="00FF791F" w:rsidP="00C55E62">
      <w:pPr>
        <w:pStyle w:val="Caption"/>
        <w:ind w:right="1890"/>
      </w:pPr>
      <w:bookmarkStart w:id="8" w:name="_Ref48554008"/>
      <w:bookmarkStart w:id="9" w:name="_Ref48294176"/>
      <w:r>
        <w:t xml:space="preserve">Exhibit </w:t>
      </w:r>
      <w:fldSimple w:instr=" SEQ Exhibit \* ARABIC ">
        <w:r w:rsidR="004B3AC4">
          <w:rPr>
            <w:noProof/>
          </w:rPr>
          <w:t>5</w:t>
        </w:r>
      </w:fldSimple>
      <w:bookmarkEnd w:id="8"/>
      <w:bookmarkEnd w:id="9"/>
      <w:r>
        <w:t>: Actual CY2020 Case Count vs. Projected Case Count (Behavioral Adjustments Not Applicable)</w:t>
      </w:r>
    </w:p>
    <w:p w14:paraId="577596FA" w14:textId="20486063" w:rsidR="00FF791F" w:rsidRDefault="001E27CE" w:rsidP="00E84434">
      <w:pPr>
        <w:spacing w:after="0"/>
        <w:ind w:right="0"/>
        <w:rPr>
          <w:rFonts w:cstheme="minorHAnsi"/>
        </w:rPr>
      </w:pPr>
      <w:r>
        <w:rPr>
          <w:rFonts w:cstheme="minorHAnsi"/>
          <w:noProof/>
        </w:rPr>
        <w:drawing>
          <wp:inline distT="0" distB="0" distL="0" distR="0" wp14:anchorId="5F3088EA" wp14:editId="60D87972">
            <wp:extent cx="4556760" cy="20461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4716" cy="2081130"/>
                    </a:xfrm>
                    <a:prstGeom prst="rect">
                      <a:avLst/>
                    </a:prstGeom>
                    <a:noFill/>
                  </pic:spPr>
                </pic:pic>
              </a:graphicData>
            </a:graphic>
          </wp:inline>
        </w:drawing>
      </w:r>
      <w:r w:rsidR="00192DA2" w:rsidRPr="00192DA2" w:rsidDel="00192DA2">
        <w:rPr>
          <w:rFonts w:cstheme="minorHAnsi"/>
        </w:rPr>
        <w:t xml:space="preserve"> </w:t>
      </w:r>
    </w:p>
    <w:p w14:paraId="6F298474" w14:textId="19BE986B" w:rsidR="00192DA2" w:rsidRDefault="00E84434" w:rsidP="00DE7E90">
      <w:pPr>
        <w:ind w:right="0"/>
        <w:rPr>
          <w:rFonts w:cstheme="minorHAnsi"/>
        </w:rPr>
      </w:pPr>
      <w:bookmarkStart w:id="10" w:name="_Hlk48561349"/>
      <w:r w:rsidRPr="00FC0753">
        <w:rPr>
          <w:rFonts w:cstheme="minorHAnsi"/>
          <w:i/>
          <w:iCs/>
          <w:sz w:val="18"/>
          <w:szCs w:val="18"/>
        </w:rPr>
        <w:t>Source: Dobson | DaVanzo Analysis of HH Claims in DUAs LDS 53367 and RIF 54757</w:t>
      </w:r>
      <w:bookmarkEnd w:id="10"/>
    </w:p>
    <w:p w14:paraId="2D821C83" w14:textId="199819BC" w:rsidR="00192DA2" w:rsidRDefault="00192DA2" w:rsidP="004B18BB">
      <w:pPr>
        <w:pStyle w:val="Caption"/>
        <w:ind w:right="1890"/>
      </w:pPr>
      <w:bookmarkStart w:id="11" w:name="_Ref53485993"/>
      <w:r>
        <w:lastRenderedPageBreak/>
        <w:t xml:space="preserve">Exhibit </w:t>
      </w:r>
      <w:fldSimple w:instr=" SEQ Exhibit \* ARABIC ">
        <w:r w:rsidR="004B3AC4">
          <w:rPr>
            <w:noProof/>
          </w:rPr>
          <w:t>6</w:t>
        </w:r>
      </w:fldSimple>
      <w:bookmarkEnd w:id="11"/>
      <w:r>
        <w:t xml:space="preserve"> Actual CY2020 Case Count vs. Projected Case Count (Behavioral Adjustments Not Applicable)</w:t>
      </w:r>
      <w:r w:rsidR="00007185" w:rsidRPr="00007185">
        <w:t xml:space="preserve"> </w:t>
      </w:r>
      <w:r w:rsidR="00007185">
        <w:t>, Adjusted for Non-Rollover of 153-Group System</w:t>
      </w:r>
    </w:p>
    <w:p w14:paraId="0CE3AD25" w14:textId="13A67E46" w:rsidR="00192DA2" w:rsidRDefault="001E27CE" w:rsidP="00192DA2">
      <w:pPr>
        <w:spacing w:after="0"/>
        <w:ind w:right="0"/>
        <w:rPr>
          <w:rFonts w:cstheme="minorHAnsi"/>
        </w:rPr>
      </w:pPr>
      <w:r>
        <w:rPr>
          <w:rFonts w:cstheme="minorHAnsi"/>
          <w:noProof/>
        </w:rPr>
        <w:drawing>
          <wp:inline distT="0" distB="0" distL="0" distR="0" wp14:anchorId="015D10A3" wp14:editId="3622D276">
            <wp:extent cx="4632960" cy="240774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42360" cy="2464600"/>
                    </a:xfrm>
                    <a:prstGeom prst="rect">
                      <a:avLst/>
                    </a:prstGeom>
                    <a:noFill/>
                  </pic:spPr>
                </pic:pic>
              </a:graphicData>
            </a:graphic>
          </wp:inline>
        </w:drawing>
      </w:r>
      <w:r w:rsidR="00192DA2" w:rsidRPr="00192DA2" w:rsidDel="00192DA2">
        <w:rPr>
          <w:rFonts w:cstheme="minorHAnsi"/>
        </w:rPr>
        <w:t xml:space="preserve"> </w:t>
      </w:r>
    </w:p>
    <w:p w14:paraId="15762795" w14:textId="77777777" w:rsidR="00192DA2" w:rsidRDefault="00192DA2" w:rsidP="00192DA2">
      <w:pPr>
        <w:ind w:right="0"/>
        <w:rPr>
          <w:rFonts w:cstheme="minorHAnsi"/>
        </w:rPr>
      </w:pPr>
      <w:r w:rsidRPr="00FC0753">
        <w:rPr>
          <w:rFonts w:cstheme="minorHAnsi"/>
          <w:i/>
          <w:iCs/>
          <w:sz w:val="18"/>
          <w:szCs w:val="18"/>
        </w:rPr>
        <w:t>Source: Dobson | DaVanzo Analysis of HH Claims in DUAs LDS 53367 and RIF 54757</w:t>
      </w:r>
    </w:p>
    <w:p w14:paraId="1E6468EF" w14:textId="77777777" w:rsidR="00192DA2" w:rsidRDefault="00192DA2" w:rsidP="00DE7E90">
      <w:pPr>
        <w:ind w:right="0"/>
        <w:rPr>
          <w:rFonts w:cstheme="minorHAnsi"/>
        </w:rPr>
      </w:pPr>
    </w:p>
    <w:p w14:paraId="66E61997" w14:textId="2AE4BEEA" w:rsidR="00E84434" w:rsidRDefault="00385172" w:rsidP="004B18BB">
      <w:pPr>
        <w:ind w:right="0"/>
      </w:pPr>
      <w:r>
        <w:rPr>
          <w:rFonts w:cstheme="minorHAnsi"/>
        </w:rPr>
        <w:t>We examined COVID-19-related diagnostic codes for home health users in 2020. This includes coding for presumed or confirmed cases, possible exposure, negative screenings, historically used (and retired codes), and related severe symptoms (pneumonia or bronchitis due to viral or other cause). We examined inpatient, outpatient, physician office and home health claims during the home health episode and in the 30 days prior to home health admission to measure the direct service risk of home health providers</w:t>
      </w:r>
      <w:r w:rsidR="00E84434">
        <w:rPr>
          <w:rFonts w:cstheme="minorHAnsi"/>
        </w:rPr>
        <w:t xml:space="preserve"> in </w:t>
      </w:r>
      <w:r w:rsidR="00007185">
        <w:rPr>
          <w:rFonts w:cstheme="minorHAnsi"/>
        </w:rPr>
        <w:fldChar w:fldCharType="begin"/>
      </w:r>
      <w:r w:rsidR="00007185">
        <w:rPr>
          <w:rFonts w:cstheme="minorHAnsi"/>
        </w:rPr>
        <w:instrText xml:space="preserve"> REF _Ref53486352 \h </w:instrText>
      </w:r>
      <w:r w:rsidR="00007185">
        <w:rPr>
          <w:rFonts w:cstheme="minorHAnsi"/>
        </w:rPr>
      </w:r>
      <w:r w:rsidR="00007185">
        <w:rPr>
          <w:rFonts w:cstheme="minorHAnsi"/>
        </w:rPr>
        <w:fldChar w:fldCharType="separate"/>
      </w:r>
      <w:r w:rsidR="00007185">
        <w:t xml:space="preserve">Exhibit </w:t>
      </w:r>
      <w:r w:rsidR="00007185">
        <w:rPr>
          <w:noProof/>
        </w:rPr>
        <w:t>7</w:t>
      </w:r>
      <w:r w:rsidR="00007185">
        <w:rPr>
          <w:rFonts w:cstheme="minorHAnsi"/>
        </w:rPr>
        <w:fldChar w:fldCharType="end"/>
      </w:r>
      <w:r w:rsidR="00007185">
        <w:rPr>
          <w:rFonts w:cstheme="minorHAnsi"/>
        </w:rPr>
        <w:t xml:space="preserve">. </w:t>
      </w:r>
      <w:r>
        <w:rPr>
          <w:rFonts w:cstheme="minorHAnsi"/>
        </w:rPr>
        <w:t>As anticipated, we find the COVID-19 case rate among home health users – as well as reports of possible exposure and negative screening – are increasing over the period. COVID-19 patients represent a small portion of home health case load (~2</w:t>
      </w:r>
      <w:r w:rsidR="00007185">
        <w:rPr>
          <w:rFonts w:cstheme="minorHAnsi"/>
        </w:rPr>
        <w:t>.45</w:t>
      </w:r>
      <w:r>
        <w:rPr>
          <w:rFonts w:cstheme="minorHAnsi"/>
        </w:rPr>
        <w:t xml:space="preserve">% in </w:t>
      </w:r>
      <w:r w:rsidR="00007185">
        <w:rPr>
          <w:rFonts w:cstheme="minorHAnsi"/>
        </w:rPr>
        <w:t>June</w:t>
      </w:r>
      <w:r>
        <w:rPr>
          <w:rFonts w:cstheme="minorHAnsi"/>
        </w:rPr>
        <w:t>).</w:t>
      </w:r>
    </w:p>
    <w:p w14:paraId="54DFF1F9" w14:textId="247CEA68" w:rsidR="00007185" w:rsidRDefault="00007185" w:rsidP="00E84434">
      <w:pPr>
        <w:spacing w:after="0"/>
        <w:ind w:right="0"/>
      </w:pPr>
    </w:p>
    <w:p w14:paraId="71734BE1" w14:textId="77777777" w:rsidR="00007185" w:rsidRDefault="00007185" w:rsidP="00007185">
      <w:pPr>
        <w:pStyle w:val="Caption"/>
        <w:ind w:right="1710"/>
      </w:pPr>
      <w:bookmarkStart w:id="12" w:name="_Ref53486352"/>
      <w:r>
        <w:lastRenderedPageBreak/>
        <w:t xml:space="preserve">Exhibit </w:t>
      </w:r>
      <w:fldSimple w:instr=" SEQ Exhibit \* ARABIC ">
        <w:r>
          <w:rPr>
            <w:noProof/>
          </w:rPr>
          <w:t>7</w:t>
        </w:r>
      </w:fldSimple>
      <w:bookmarkEnd w:id="12"/>
      <w:r>
        <w:t>: COVID-19 Case Rates, Related Symptoms, and Related Codes, Among CY2020 Home Health Users</w:t>
      </w:r>
    </w:p>
    <w:p w14:paraId="2470B0E4" w14:textId="754701C4" w:rsidR="00385172" w:rsidRDefault="001E27CE" w:rsidP="00E84434">
      <w:pPr>
        <w:spacing w:after="0"/>
        <w:ind w:right="0"/>
        <w:rPr>
          <w:rFonts w:cstheme="minorHAnsi"/>
        </w:rPr>
      </w:pPr>
      <w:r>
        <w:rPr>
          <w:rFonts w:cstheme="minorHAnsi"/>
          <w:noProof/>
        </w:rPr>
        <w:drawing>
          <wp:inline distT="0" distB="0" distL="0" distR="0" wp14:anchorId="5E145F0A" wp14:editId="48A246EA">
            <wp:extent cx="5715000" cy="238823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96917" cy="2422463"/>
                    </a:xfrm>
                    <a:prstGeom prst="rect">
                      <a:avLst/>
                    </a:prstGeom>
                    <a:noFill/>
                  </pic:spPr>
                </pic:pic>
              </a:graphicData>
            </a:graphic>
          </wp:inline>
        </w:drawing>
      </w:r>
    </w:p>
    <w:p w14:paraId="123ED80C" w14:textId="77777777" w:rsidR="00385172" w:rsidRDefault="00E84434" w:rsidP="00DE7E90">
      <w:pPr>
        <w:ind w:right="0"/>
        <w:rPr>
          <w:rFonts w:cstheme="minorHAnsi"/>
        </w:rPr>
      </w:pPr>
      <w:r w:rsidRPr="00FC0753">
        <w:rPr>
          <w:rFonts w:cstheme="minorHAnsi"/>
          <w:i/>
          <w:iCs/>
          <w:sz w:val="18"/>
          <w:szCs w:val="18"/>
        </w:rPr>
        <w:t>Source: Dobson | DaVanzo Analysis of HH</w:t>
      </w:r>
      <w:r>
        <w:rPr>
          <w:rFonts w:cstheme="minorHAnsi"/>
          <w:i/>
          <w:iCs/>
          <w:sz w:val="18"/>
          <w:szCs w:val="18"/>
        </w:rPr>
        <w:t>, IP, OP, and Carrier Claims,</w:t>
      </w:r>
      <w:r w:rsidRPr="00FC0753">
        <w:rPr>
          <w:rFonts w:cstheme="minorHAnsi"/>
          <w:i/>
          <w:iCs/>
          <w:sz w:val="18"/>
          <w:szCs w:val="18"/>
        </w:rPr>
        <w:t xml:space="preserve"> RIF 54757</w:t>
      </w:r>
    </w:p>
    <w:p w14:paraId="0FF30733" w14:textId="77777777" w:rsidR="00385172" w:rsidRDefault="00DB2370" w:rsidP="00DB2370">
      <w:pPr>
        <w:pStyle w:val="Heading3"/>
      </w:pPr>
      <w:r w:rsidRPr="00DB2370">
        <w:t>Behavioral Assumptions</w:t>
      </w:r>
    </w:p>
    <w:p w14:paraId="7967E3E6" w14:textId="491E1B0A" w:rsidR="00DB2370" w:rsidRPr="00B26D92" w:rsidRDefault="00B13873" w:rsidP="00DB2370">
      <w:pPr>
        <w:ind w:right="0"/>
      </w:pPr>
      <w:r>
        <w:t>T</w:t>
      </w:r>
      <w:r w:rsidR="00DB2370">
        <w:t>he CY2020 HH PPS FR</w:t>
      </w:r>
      <w:r>
        <w:t xml:space="preserve"> presented </w:t>
      </w:r>
      <w:r w:rsidR="00DB2370" w:rsidRPr="00B26D92">
        <w:t>the 30-day payment rate in a budget-neutral manner</w:t>
      </w:r>
      <w:r w:rsidR="00DB2370">
        <w:t xml:space="preserve"> for </w:t>
      </w:r>
      <w:r w:rsidR="00DB2370" w:rsidRPr="00D34F20">
        <w:t xml:space="preserve">PDGM </w:t>
      </w:r>
      <w:r w:rsidR="00DB2370">
        <w:t xml:space="preserve">cases, then reduced that budget neutral base rate by </w:t>
      </w:r>
      <w:r w:rsidR="00DB2370" w:rsidRPr="00D34F20">
        <w:t xml:space="preserve">-4.36% based on assumptions that providers would systemically change their </w:t>
      </w:r>
      <w:r w:rsidR="00213893">
        <w:t xml:space="preserve">visit volume and </w:t>
      </w:r>
      <w:r w:rsidR="00DB2370" w:rsidRPr="00D34F20">
        <w:t xml:space="preserve">coding practices to maximize payment in </w:t>
      </w:r>
      <w:r w:rsidR="00DB2370">
        <w:t>the</w:t>
      </w:r>
      <w:r w:rsidR="00DB2370" w:rsidRPr="00D34F20">
        <w:t xml:space="preserve"> new model.</w:t>
      </w:r>
    </w:p>
    <w:p w14:paraId="219EED7C" w14:textId="77777777" w:rsidR="00DB2370" w:rsidRPr="00860D42" w:rsidRDefault="00DB2370" w:rsidP="00DB2370">
      <w:pPr>
        <w:ind w:right="0"/>
        <w:rPr>
          <w:rFonts w:cstheme="minorHAnsi"/>
        </w:rPr>
      </w:pPr>
      <w:r w:rsidRPr="00860D42">
        <w:rPr>
          <w:rFonts w:cstheme="minorHAnsi"/>
        </w:rPr>
        <w:t xml:space="preserve">CMS cited three underlying assumptions to </w:t>
      </w:r>
      <w:r>
        <w:t>justify the payment reduction</w:t>
      </w:r>
      <w:r w:rsidRPr="00860D42">
        <w:rPr>
          <w:rFonts w:cstheme="minorHAnsi"/>
        </w:rPr>
        <w:t xml:space="preserve"> in the final rule:</w:t>
      </w:r>
    </w:p>
    <w:p w14:paraId="69097C7F" w14:textId="77777777" w:rsidR="00213893" w:rsidRPr="00213893" w:rsidRDefault="00DB2370" w:rsidP="00901FCC">
      <w:pPr>
        <w:pStyle w:val="ListParagraph"/>
        <w:numPr>
          <w:ilvl w:val="0"/>
          <w:numId w:val="3"/>
        </w:numPr>
        <w:rPr>
          <w:rFonts w:cstheme="minorHAnsi"/>
        </w:rPr>
      </w:pPr>
      <w:r w:rsidRPr="00860D42">
        <w:rPr>
          <w:rFonts w:cstheme="minorHAnsi"/>
        </w:rPr>
        <w:t>For one-third of LUPAs that are one to two visits away from the LUPA threshold, HHAs will provide one to two extra visits to receive a full 30-day payment.</w:t>
      </w:r>
      <w:r w:rsidRPr="00875784">
        <w:t xml:space="preserve"> </w:t>
      </w:r>
    </w:p>
    <w:p w14:paraId="2BF9F4CC" w14:textId="77777777" w:rsidR="00DB2370" w:rsidRPr="00860D42" w:rsidRDefault="00DB2370" w:rsidP="00901FCC">
      <w:pPr>
        <w:pStyle w:val="ListParagraph"/>
        <w:numPr>
          <w:ilvl w:val="0"/>
          <w:numId w:val="3"/>
        </w:numPr>
        <w:rPr>
          <w:rFonts w:cstheme="minorHAnsi"/>
        </w:rPr>
      </w:pPr>
      <w:r w:rsidRPr="00860D42">
        <w:rPr>
          <w:rFonts w:cstheme="minorHAnsi"/>
        </w:rPr>
        <w:t>HHAs will change documentation and coding practices and put the highest paying diagnosis code as the principal diagnosis code. This allows a 30-day period of care to be placed into a higher-paying clinical group.</w:t>
      </w:r>
    </w:p>
    <w:p w14:paraId="2F30F5BA" w14:textId="77777777" w:rsidR="00DB2370" w:rsidRPr="00213893" w:rsidRDefault="00DB2370" w:rsidP="00901FCC">
      <w:pPr>
        <w:pStyle w:val="ListParagraph"/>
        <w:numPr>
          <w:ilvl w:val="0"/>
          <w:numId w:val="3"/>
        </w:numPr>
        <w:rPr>
          <w:rFonts w:cstheme="minorHAnsi"/>
        </w:rPr>
      </w:pPr>
      <w:r w:rsidRPr="00860D42">
        <w:rPr>
          <w:rFonts w:cstheme="minorHAnsi"/>
        </w:rPr>
        <w:t>By taking into account additional ICD-10-CM diagnosis codes listed on the HH claim (that exceed the six allowed on the OASIS), more 30-day periods of care will receive a comorbidity adjustment than periods otherwise would have received if CMS had only used the OASIS diagnosis codes for payment.</w:t>
      </w:r>
      <w:r w:rsidRPr="00875784">
        <w:t xml:space="preserve"> </w:t>
      </w:r>
    </w:p>
    <w:p w14:paraId="044F9C38" w14:textId="77777777" w:rsidR="00213893" w:rsidRDefault="00213893" w:rsidP="00213893">
      <w:pPr>
        <w:ind w:right="0"/>
        <w:rPr>
          <w:rFonts w:cstheme="minorHAnsi"/>
        </w:rPr>
      </w:pPr>
      <w:r>
        <w:rPr>
          <w:rFonts w:cstheme="minorHAnsi"/>
        </w:rPr>
        <w:t xml:space="preserve">Combined, the agency indicated in the CY2020 HH PPS proposed rule that these three assumptions (which are interactive) would lead to 8.01% overrun; in the final rule, CMS reduced this to 4.36%. As described above, we find that the HH PPS is underpaying relative to budget neutral levels; below we address each behavioral assumption in greater detail. Ultimately, we find the behavioral assumptions have </w:t>
      </w:r>
      <w:r w:rsidR="005C07BE">
        <w:rPr>
          <w:rFonts w:cstheme="minorHAnsi"/>
        </w:rPr>
        <w:t xml:space="preserve">largely </w:t>
      </w:r>
      <w:r>
        <w:rPr>
          <w:rFonts w:cstheme="minorHAnsi"/>
        </w:rPr>
        <w:t>not come to pass:</w:t>
      </w:r>
    </w:p>
    <w:p w14:paraId="7D28B3EE" w14:textId="77777777" w:rsidR="00213893" w:rsidRDefault="00213893" w:rsidP="00901FCC">
      <w:pPr>
        <w:pStyle w:val="ListParagraph"/>
        <w:numPr>
          <w:ilvl w:val="0"/>
          <w:numId w:val="5"/>
        </w:numPr>
        <w:rPr>
          <w:rFonts w:cstheme="minorHAnsi"/>
        </w:rPr>
      </w:pPr>
      <w:r>
        <w:rPr>
          <w:rFonts w:cstheme="minorHAnsi"/>
        </w:rPr>
        <w:t>Observed LUPA rates greatly exceed predicted rates.</w:t>
      </w:r>
    </w:p>
    <w:p w14:paraId="1D8BBC61" w14:textId="77777777" w:rsidR="00213893" w:rsidRDefault="00E84434" w:rsidP="00901FCC">
      <w:pPr>
        <w:pStyle w:val="ListParagraph"/>
        <w:numPr>
          <w:ilvl w:val="0"/>
          <w:numId w:val="5"/>
        </w:numPr>
        <w:rPr>
          <w:rFonts w:cstheme="minorHAnsi"/>
        </w:rPr>
      </w:pPr>
      <w:r>
        <w:rPr>
          <w:rFonts w:cstheme="minorHAnsi"/>
        </w:rPr>
        <w:t>Payment</w:t>
      </w:r>
      <w:r w:rsidR="00213893">
        <w:rPr>
          <w:rFonts w:cstheme="minorHAnsi"/>
        </w:rPr>
        <w:t xml:space="preserve"> optimization </w:t>
      </w:r>
      <w:r>
        <w:rPr>
          <w:rFonts w:cstheme="minorHAnsi"/>
        </w:rPr>
        <w:t xml:space="preserve">of primary diagnostic coding </w:t>
      </w:r>
      <w:r w:rsidR="00213893">
        <w:rPr>
          <w:rFonts w:cstheme="minorHAnsi"/>
        </w:rPr>
        <w:t>has largely not occurred (clinical case-mix groups represent historical rather than optimized groupings).</w:t>
      </w:r>
    </w:p>
    <w:p w14:paraId="14C6A617" w14:textId="77777777" w:rsidR="00213893" w:rsidRDefault="005C07BE" w:rsidP="00901FCC">
      <w:pPr>
        <w:pStyle w:val="ListParagraph"/>
        <w:numPr>
          <w:ilvl w:val="0"/>
          <w:numId w:val="5"/>
        </w:numPr>
        <w:rPr>
          <w:rFonts w:cstheme="minorHAnsi"/>
        </w:rPr>
      </w:pPr>
      <w:r>
        <w:rPr>
          <w:rFonts w:cstheme="minorHAnsi"/>
        </w:rPr>
        <w:lastRenderedPageBreak/>
        <w:t xml:space="preserve">High comorbidity and functional need groups are bigger than expected, but this is tempered by increased relative case-mix severity with reduced volume. </w:t>
      </w:r>
    </w:p>
    <w:p w14:paraId="23DE7375" w14:textId="77777777" w:rsidR="00DB2370" w:rsidRDefault="005C07BE" w:rsidP="005C07BE">
      <w:pPr>
        <w:pStyle w:val="Heading4"/>
      </w:pPr>
      <w:r>
        <w:t>LUPA Rates</w:t>
      </w:r>
    </w:p>
    <w:p w14:paraId="280024B3" w14:textId="39292A2B" w:rsidR="007966DB" w:rsidRDefault="00892AC2" w:rsidP="00DE7E90">
      <w:pPr>
        <w:ind w:right="0"/>
        <w:rPr>
          <w:rFonts w:cstheme="minorHAnsi"/>
        </w:rPr>
      </w:pPr>
      <w:r>
        <w:rPr>
          <w:rFonts w:cstheme="minorHAnsi"/>
        </w:rPr>
        <w:t xml:space="preserve">During this period, LUPA rates were much higher than historically or in the rate-setting file (with or without behavioral adjustment). </w:t>
      </w:r>
      <w:r w:rsidR="00D86583">
        <w:rPr>
          <w:rFonts w:cstheme="minorHAnsi"/>
        </w:rPr>
        <w:t xml:space="preserve">LUPAs are cases that do not meet the full payment visit threshold and are paid on a per-visit basis; the large portion of LUPA cases serves to </w:t>
      </w:r>
      <w:r w:rsidR="003D684A">
        <w:rPr>
          <w:rFonts w:cstheme="minorHAnsi"/>
        </w:rPr>
        <w:t xml:space="preserve">reduce average </w:t>
      </w:r>
      <w:r w:rsidR="00D86583">
        <w:rPr>
          <w:rFonts w:cstheme="minorHAnsi"/>
        </w:rPr>
        <w:t xml:space="preserve">case payments. We find a </w:t>
      </w:r>
      <w:r w:rsidR="004C48AA">
        <w:rPr>
          <w:rFonts w:cstheme="minorHAnsi"/>
        </w:rPr>
        <w:t>1</w:t>
      </w:r>
      <w:r w:rsidR="001419A6">
        <w:rPr>
          <w:rFonts w:cstheme="minorHAnsi"/>
        </w:rPr>
        <w:t>4.4</w:t>
      </w:r>
      <w:r w:rsidR="00D86583">
        <w:rPr>
          <w:rFonts w:cstheme="minorHAnsi"/>
        </w:rPr>
        <w:t>% LUPA rate in January-</w:t>
      </w:r>
      <w:r w:rsidR="004C48AA">
        <w:rPr>
          <w:rFonts w:cstheme="minorHAnsi"/>
        </w:rPr>
        <w:t xml:space="preserve">June </w:t>
      </w:r>
      <w:r w:rsidR="00D86583">
        <w:rPr>
          <w:rFonts w:cstheme="minorHAnsi"/>
        </w:rPr>
        <w:t>2020 compared to the predicted 5.</w:t>
      </w:r>
      <w:r w:rsidR="004C48AA">
        <w:rPr>
          <w:rFonts w:cstheme="minorHAnsi"/>
        </w:rPr>
        <w:t>4</w:t>
      </w:r>
      <w:r w:rsidR="00D86583">
        <w:rPr>
          <w:rFonts w:cstheme="minorHAnsi"/>
        </w:rPr>
        <w:t>% (with behavioral assumptions) or 7.5% (historical trend without behavioral assumptions).</w:t>
      </w:r>
      <w:r w:rsidR="004C48AA">
        <w:rPr>
          <w:rStyle w:val="FootnoteReference"/>
          <w:rFonts w:cstheme="minorHAnsi"/>
        </w:rPr>
        <w:footnoteReference w:id="7"/>
      </w:r>
      <w:r w:rsidR="00D86583">
        <w:rPr>
          <w:rFonts w:cstheme="minorHAnsi"/>
        </w:rPr>
        <w:t xml:space="preserve"> LUPA rates were very high and increasing in the PDGM case mix groups in January and February, prior to widespread state responses to the COVID-19 PHE</w:t>
      </w:r>
      <w:r w:rsidR="00E84434">
        <w:rPr>
          <w:rFonts w:cstheme="minorHAnsi"/>
        </w:rPr>
        <w:t xml:space="preserve">, as shown in </w:t>
      </w:r>
      <w:r w:rsidR="004C48AA">
        <w:rPr>
          <w:rFonts w:cstheme="minorHAnsi"/>
        </w:rPr>
        <w:fldChar w:fldCharType="begin"/>
      </w:r>
      <w:r w:rsidR="004C48AA">
        <w:rPr>
          <w:rFonts w:cstheme="minorHAnsi"/>
        </w:rPr>
        <w:instrText xml:space="preserve"> REF _Ref53487315 \h </w:instrText>
      </w:r>
      <w:r w:rsidR="004C48AA">
        <w:rPr>
          <w:rFonts w:cstheme="minorHAnsi"/>
        </w:rPr>
      </w:r>
      <w:r w:rsidR="004C48AA">
        <w:rPr>
          <w:rFonts w:cstheme="minorHAnsi"/>
        </w:rPr>
        <w:fldChar w:fldCharType="separate"/>
      </w:r>
      <w:r w:rsidR="004C48AA">
        <w:t xml:space="preserve">Exhibit </w:t>
      </w:r>
      <w:r w:rsidR="004C48AA">
        <w:rPr>
          <w:noProof/>
        </w:rPr>
        <w:t>8</w:t>
      </w:r>
      <w:r w:rsidR="004C48AA">
        <w:rPr>
          <w:rFonts w:cstheme="minorHAnsi"/>
        </w:rPr>
        <w:fldChar w:fldCharType="end"/>
      </w:r>
      <w:r w:rsidR="00E84434">
        <w:rPr>
          <w:rFonts w:cstheme="minorHAnsi"/>
        </w:rPr>
        <w:fldChar w:fldCharType="begin"/>
      </w:r>
      <w:r w:rsidR="00E84434">
        <w:rPr>
          <w:rFonts w:cstheme="minorHAnsi"/>
        </w:rPr>
        <w:instrText xml:space="preserve"> REF _Ref48294572 \h </w:instrText>
      </w:r>
      <w:r w:rsidR="00E84434">
        <w:rPr>
          <w:rFonts w:cstheme="minorHAnsi"/>
        </w:rPr>
      </w:r>
      <w:r w:rsidR="00E84434">
        <w:rPr>
          <w:rFonts w:cstheme="minorHAnsi"/>
        </w:rPr>
        <w:fldChar w:fldCharType="end"/>
      </w:r>
      <w:r w:rsidR="00D86583">
        <w:rPr>
          <w:rFonts w:cstheme="minorHAnsi"/>
        </w:rPr>
        <w:t xml:space="preserve">. This suggests that providers were struggling with the new PDGM LUPA rules. </w:t>
      </w:r>
    </w:p>
    <w:p w14:paraId="288CAEA9" w14:textId="70665253" w:rsidR="00892AC2" w:rsidRDefault="00D86583" w:rsidP="00DE7E90">
      <w:pPr>
        <w:ind w:right="0"/>
        <w:rPr>
          <w:rFonts w:cstheme="minorHAnsi"/>
        </w:rPr>
      </w:pPr>
      <w:r>
        <w:rPr>
          <w:rFonts w:cstheme="minorHAnsi"/>
        </w:rPr>
        <w:t xml:space="preserve">LUPA rates </w:t>
      </w:r>
      <w:r w:rsidR="00D877FE">
        <w:rPr>
          <w:rFonts w:cstheme="minorHAnsi"/>
        </w:rPr>
        <w:t xml:space="preserve">began trending back down </w:t>
      </w:r>
      <w:r w:rsidR="004B18BB">
        <w:rPr>
          <w:rFonts w:cstheme="minorHAnsi"/>
        </w:rPr>
        <w:t>after March</w:t>
      </w:r>
      <w:r w:rsidR="00D877FE">
        <w:rPr>
          <w:rFonts w:cstheme="minorHAnsi"/>
        </w:rPr>
        <w:t xml:space="preserve">; </w:t>
      </w:r>
      <w:r w:rsidR="00E84434">
        <w:rPr>
          <w:rFonts w:cstheme="minorHAnsi"/>
        </w:rPr>
        <w:t>however,</w:t>
      </w:r>
      <w:r w:rsidR="00D877FE">
        <w:rPr>
          <w:rFonts w:cstheme="minorHAnsi"/>
        </w:rPr>
        <w:t xml:space="preserve"> LUPA rates would have to be consistently below 5% for the remainder of the year to come back to the CMS behavioral assumption</w:t>
      </w:r>
      <w:r w:rsidR="00826D93">
        <w:rPr>
          <w:rFonts w:cstheme="minorHAnsi"/>
        </w:rPr>
        <w:t xml:space="preserve"> of </w:t>
      </w:r>
      <w:r w:rsidR="00B13873">
        <w:rPr>
          <w:rFonts w:cstheme="minorHAnsi"/>
        </w:rPr>
        <w:t>an aggregate 5.3</w:t>
      </w:r>
      <w:r w:rsidR="00826D93">
        <w:rPr>
          <w:rFonts w:cstheme="minorHAnsi"/>
        </w:rPr>
        <w:t>%</w:t>
      </w:r>
      <w:r w:rsidR="00B13873">
        <w:rPr>
          <w:rFonts w:cstheme="minorHAnsi"/>
        </w:rPr>
        <w:t xml:space="preserve"> LUPA rate</w:t>
      </w:r>
      <w:r w:rsidR="00D877FE">
        <w:rPr>
          <w:rFonts w:cstheme="minorHAnsi"/>
        </w:rPr>
        <w:t xml:space="preserve">. </w:t>
      </w:r>
    </w:p>
    <w:p w14:paraId="70247A32" w14:textId="06D6464D" w:rsidR="004C48AA" w:rsidRDefault="004C48AA" w:rsidP="009359BE">
      <w:pPr>
        <w:pStyle w:val="Caption"/>
        <w:tabs>
          <w:tab w:val="left" w:pos="6300"/>
        </w:tabs>
        <w:ind w:right="2340"/>
      </w:pPr>
      <w:bookmarkStart w:id="13" w:name="_Ref53487315"/>
      <w:r>
        <w:t xml:space="preserve">Exhibit </w:t>
      </w:r>
      <w:fldSimple w:instr=" SEQ Exhibit \* ARABIC ">
        <w:r>
          <w:rPr>
            <w:noProof/>
          </w:rPr>
          <w:t>8</w:t>
        </w:r>
      </w:fldSimple>
      <w:bookmarkEnd w:id="13"/>
      <w:r>
        <w:t xml:space="preserve">: </w:t>
      </w:r>
      <w:r w:rsidRPr="00E84434">
        <w:t xml:space="preserve">Actual CY2020 </w:t>
      </w:r>
      <w:r>
        <w:t>LUPA Rate</w:t>
      </w:r>
      <w:r w:rsidRPr="00E84434">
        <w:t xml:space="preserve"> vs. Projected </w:t>
      </w:r>
      <w:r>
        <w:t>LUPA Rate</w:t>
      </w:r>
    </w:p>
    <w:p w14:paraId="55244EAA" w14:textId="5D6F1A93" w:rsidR="00B92EA7" w:rsidRDefault="004C48AA" w:rsidP="00E84434">
      <w:pPr>
        <w:spacing w:after="0"/>
        <w:ind w:right="0"/>
        <w:rPr>
          <w:rFonts w:cstheme="minorHAnsi"/>
        </w:rPr>
      </w:pPr>
      <w:r w:rsidRPr="004C48AA">
        <w:rPr>
          <w:rFonts w:cstheme="minorHAnsi"/>
          <w:noProof/>
        </w:rPr>
        <w:drawing>
          <wp:inline distT="0" distB="0" distL="0" distR="0" wp14:anchorId="692C0FBB" wp14:editId="35344ED5">
            <wp:extent cx="4991100" cy="2466755"/>
            <wp:effectExtent l="0" t="0" r="0" b="0"/>
            <wp:docPr id="18" name="Picture 10">
              <a:extLst xmlns:a="http://schemas.openxmlformats.org/drawingml/2006/main">
                <a:ext uri="{FF2B5EF4-FFF2-40B4-BE49-F238E27FC236}">
                  <a16:creationId xmlns:a16="http://schemas.microsoft.com/office/drawing/2014/main" id="{161D09A9-E91A-4BF6-B96E-0F2495BC95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61D09A9-E91A-4BF6-B96E-0F2495BC95C9}"/>
                        </a:ext>
                      </a:extLst>
                    </pic:cNvPr>
                    <pic:cNvPicPr>
                      <a:picLocks noChangeAspect="1"/>
                    </pic:cNvPicPr>
                  </pic:nvPicPr>
                  <pic:blipFill>
                    <a:blip r:embed="rId16"/>
                    <a:stretch>
                      <a:fillRect/>
                    </a:stretch>
                  </pic:blipFill>
                  <pic:spPr>
                    <a:xfrm>
                      <a:off x="0" y="0"/>
                      <a:ext cx="5048441" cy="2495095"/>
                    </a:xfrm>
                    <a:prstGeom prst="rect">
                      <a:avLst/>
                    </a:prstGeom>
                  </pic:spPr>
                </pic:pic>
              </a:graphicData>
            </a:graphic>
          </wp:inline>
        </w:drawing>
      </w:r>
    </w:p>
    <w:p w14:paraId="6CEAA746" w14:textId="77777777" w:rsidR="00E84434" w:rsidRDefault="00E84434" w:rsidP="00E84434">
      <w:pPr>
        <w:ind w:right="0"/>
        <w:rPr>
          <w:rFonts w:cstheme="minorHAnsi"/>
        </w:rPr>
      </w:pPr>
      <w:r w:rsidRPr="00FC0753">
        <w:rPr>
          <w:rFonts w:cstheme="minorHAnsi"/>
          <w:i/>
          <w:iCs/>
          <w:sz w:val="18"/>
          <w:szCs w:val="18"/>
        </w:rPr>
        <w:t>Source: Dobson | DaVanzo Analysis of HH Claims in DUAs LDS 53367 and RIF 54757</w:t>
      </w:r>
    </w:p>
    <w:p w14:paraId="48E3E333" w14:textId="77777777" w:rsidR="00C50A1E" w:rsidRPr="005C07BE" w:rsidRDefault="005C07BE" w:rsidP="005C07BE">
      <w:pPr>
        <w:pStyle w:val="Heading4"/>
      </w:pPr>
      <w:r w:rsidRPr="005C07BE">
        <w:t>Clinical Group Coding</w:t>
      </w:r>
    </w:p>
    <w:p w14:paraId="77A06BD9" w14:textId="0BDBDA96" w:rsidR="004C48AA" w:rsidRDefault="00B2763E" w:rsidP="00712858">
      <w:pPr>
        <w:ind w:right="0"/>
      </w:pPr>
      <w:r w:rsidRPr="00343DAE">
        <w:t xml:space="preserve">We find that case-mix groups </w:t>
      </w:r>
      <w:r w:rsidR="00343DAE">
        <w:t xml:space="preserve">are </w:t>
      </w:r>
      <w:r w:rsidR="005C07BE">
        <w:t>more</w:t>
      </w:r>
      <w:r w:rsidR="00343DAE">
        <w:t xml:space="preserve"> similar to </w:t>
      </w:r>
      <w:r w:rsidRPr="00343DAE">
        <w:t xml:space="preserve">historical trends of primary diagnoses </w:t>
      </w:r>
      <w:r w:rsidR="00343DAE">
        <w:t xml:space="preserve">rather than </w:t>
      </w:r>
      <w:r w:rsidRPr="00343DAE">
        <w:t>payment-optimized groupings</w:t>
      </w:r>
      <w:r w:rsidR="00343DAE">
        <w:t xml:space="preserve"> as projected by CMS</w:t>
      </w:r>
      <w:r w:rsidR="005C07BE">
        <w:t xml:space="preserve"> in the behavioral assumptions</w:t>
      </w:r>
      <w:r w:rsidR="003C3E65">
        <w:t xml:space="preserve">, as shown in </w:t>
      </w:r>
      <w:r w:rsidR="004C48AA">
        <w:fldChar w:fldCharType="begin"/>
      </w:r>
      <w:r w:rsidR="004C48AA">
        <w:instrText xml:space="preserve"> REF _Ref53487693 \h </w:instrText>
      </w:r>
      <w:r w:rsidR="004C48AA">
        <w:fldChar w:fldCharType="separate"/>
      </w:r>
      <w:r w:rsidR="004C48AA">
        <w:t xml:space="preserve">Exhibit </w:t>
      </w:r>
      <w:r w:rsidR="004C48AA">
        <w:rPr>
          <w:noProof/>
        </w:rPr>
        <w:t>9</w:t>
      </w:r>
      <w:r w:rsidR="004C48AA">
        <w:fldChar w:fldCharType="end"/>
      </w:r>
      <w:r w:rsidR="003C3E65">
        <w:fldChar w:fldCharType="begin"/>
      </w:r>
      <w:r w:rsidR="003C3E65">
        <w:instrText xml:space="preserve"> REF _Ref48295004 \h </w:instrText>
      </w:r>
      <w:r w:rsidR="003C3E65">
        <w:fldChar w:fldCharType="end"/>
      </w:r>
      <w:r w:rsidRPr="00343DAE">
        <w:t xml:space="preserve">. </w:t>
      </w:r>
      <w:r w:rsidR="00F30DCC">
        <w:t xml:space="preserve">The </w:t>
      </w:r>
      <w:r w:rsidR="007D29B4">
        <w:t>Agency</w:t>
      </w:r>
      <w:r w:rsidR="007D29B4" w:rsidRPr="00343DAE">
        <w:t xml:space="preserve"> </w:t>
      </w:r>
      <w:r w:rsidR="00152211">
        <w:t>assumed</w:t>
      </w:r>
      <w:r w:rsidRPr="00343DAE">
        <w:t xml:space="preserve"> </w:t>
      </w:r>
      <w:r w:rsidR="00F30DCC" w:rsidRPr="00F30DCC">
        <w:t>home health agencies would change their documentation and coding practices to assign the highest-paying diagnosis code as the principal code for the 30-day period of car</w:t>
      </w:r>
      <w:r w:rsidR="009938F6">
        <w:t>e, which has largely not occurred</w:t>
      </w:r>
      <w:r w:rsidRPr="00343DAE">
        <w:t>.</w:t>
      </w:r>
      <w:r w:rsidR="00161F15">
        <w:t xml:space="preserve"> Certain groups stand out for their departure in the behavioral assumption group from historical </w:t>
      </w:r>
      <w:r w:rsidR="00161F15">
        <w:lastRenderedPageBreak/>
        <w:t>trend – especially clinical groups MMTA-Endocrine and Neuro groups – where actual 2020 case-mix results hewed close to historical</w:t>
      </w:r>
      <w:r w:rsidR="007966DB">
        <w:t xml:space="preserve"> levels</w:t>
      </w:r>
      <w:r w:rsidR="00161F15">
        <w:t xml:space="preserve">. This behavioral assumption would require agencies </w:t>
      </w:r>
      <w:r w:rsidR="003C3E65">
        <w:t>to substantially disregard</w:t>
      </w:r>
      <w:r w:rsidR="00161F15">
        <w:t xml:space="preserve"> international agreed coding </w:t>
      </w:r>
      <w:r w:rsidR="003F6E12">
        <w:t>schemas,</w:t>
      </w:r>
      <w:r w:rsidR="00161F15">
        <w:t xml:space="preserve"> so it is unsurprising shifts did not occur to the extent predicted in the behavioral assumption. </w:t>
      </w:r>
    </w:p>
    <w:p w14:paraId="60564C48" w14:textId="420A0372" w:rsidR="004C48AA" w:rsidRDefault="004C48AA" w:rsidP="007D29B4">
      <w:pPr>
        <w:pStyle w:val="Caption"/>
        <w:ind w:right="1440"/>
      </w:pPr>
      <w:bookmarkStart w:id="14" w:name="_Ref53487693"/>
      <w:r>
        <w:t xml:space="preserve">Exhibit </w:t>
      </w:r>
      <w:fldSimple w:instr=" SEQ Exhibit \* ARABIC ">
        <w:r>
          <w:rPr>
            <w:noProof/>
          </w:rPr>
          <w:t>9</w:t>
        </w:r>
      </w:fldSimple>
      <w:bookmarkEnd w:id="14"/>
      <w:r>
        <w:t>:</w:t>
      </w:r>
      <w:r w:rsidRPr="003C3E65">
        <w:t xml:space="preserve"> Observed Clinical Groups January-</w:t>
      </w:r>
      <w:r>
        <w:t>June</w:t>
      </w:r>
      <w:r w:rsidRPr="003C3E65">
        <w:t xml:space="preserve"> 2020 Compared to Projected Clinical Groups (</w:t>
      </w:r>
      <w:r>
        <w:t>w</w:t>
      </w:r>
      <w:r w:rsidRPr="003C3E65">
        <w:t>ith and without Behavioral Adjustments)</w:t>
      </w:r>
    </w:p>
    <w:p w14:paraId="244A4396" w14:textId="39D691B4" w:rsidR="005C07BE" w:rsidRDefault="004C48AA" w:rsidP="003C3E65">
      <w:pPr>
        <w:spacing w:after="0"/>
        <w:rPr>
          <w:color w:val="C00000"/>
        </w:rPr>
      </w:pPr>
      <w:r w:rsidRPr="004C48AA">
        <w:rPr>
          <w:noProof/>
          <w:color w:val="C00000"/>
        </w:rPr>
        <w:drawing>
          <wp:inline distT="0" distB="0" distL="0" distR="0" wp14:anchorId="75284659" wp14:editId="10B3C4F5">
            <wp:extent cx="4953000" cy="2827866"/>
            <wp:effectExtent l="0" t="0" r="0" b="0"/>
            <wp:docPr id="21" name="Picture 10">
              <a:extLst xmlns:a="http://schemas.openxmlformats.org/drawingml/2006/main">
                <a:ext uri="{FF2B5EF4-FFF2-40B4-BE49-F238E27FC236}">
                  <a16:creationId xmlns:a16="http://schemas.microsoft.com/office/drawing/2014/main" id="{B3311EED-3635-490E-9D36-4E59D6D451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B3311EED-3635-490E-9D36-4E59D6D45116}"/>
                        </a:ext>
                      </a:extLst>
                    </pic:cNvPr>
                    <pic:cNvPicPr>
                      <a:picLocks noChangeAspect="1"/>
                    </pic:cNvPicPr>
                  </pic:nvPicPr>
                  <pic:blipFill>
                    <a:blip r:embed="rId17"/>
                    <a:stretch>
                      <a:fillRect/>
                    </a:stretch>
                  </pic:blipFill>
                  <pic:spPr>
                    <a:xfrm>
                      <a:off x="0" y="0"/>
                      <a:ext cx="4990718" cy="2849401"/>
                    </a:xfrm>
                    <a:prstGeom prst="rect">
                      <a:avLst/>
                    </a:prstGeom>
                  </pic:spPr>
                </pic:pic>
              </a:graphicData>
            </a:graphic>
          </wp:inline>
        </w:drawing>
      </w:r>
    </w:p>
    <w:p w14:paraId="500F8B7C" w14:textId="77777777" w:rsidR="003C3E65" w:rsidRDefault="003C3E65" w:rsidP="003C3E65">
      <w:pPr>
        <w:ind w:right="0"/>
        <w:rPr>
          <w:rFonts w:cstheme="minorHAnsi"/>
        </w:rPr>
      </w:pPr>
      <w:r w:rsidRPr="00FC0753">
        <w:rPr>
          <w:rFonts w:cstheme="minorHAnsi"/>
          <w:i/>
          <w:iCs/>
          <w:sz w:val="18"/>
          <w:szCs w:val="18"/>
        </w:rPr>
        <w:t>Source: Dobson | DaVanzo Analysis of HH Claims in DUAs LDS 53367 and RIF 54757</w:t>
      </w:r>
    </w:p>
    <w:p w14:paraId="7F670483" w14:textId="77777777" w:rsidR="00B2763E" w:rsidRPr="00343DAE" w:rsidRDefault="00C50A1E" w:rsidP="00161F15">
      <w:pPr>
        <w:pStyle w:val="Heading4"/>
      </w:pPr>
      <w:r w:rsidRPr="00343DAE">
        <w:t xml:space="preserve">Impact on comorbidity </w:t>
      </w:r>
      <w:r w:rsidR="00B2763E" w:rsidRPr="00343DAE">
        <w:t>coding</w:t>
      </w:r>
    </w:p>
    <w:p w14:paraId="5DB3D615" w14:textId="7A6F0E26" w:rsidR="003C3E65" w:rsidRDefault="00161F15" w:rsidP="004B18BB">
      <w:pPr>
        <w:ind w:right="0"/>
      </w:pPr>
      <w:r>
        <w:t xml:space="preserve">So far in 2020, agencies </w:t>
      </w:r>
      <w:r w:rsidR="00F30DCC">
        <w:t xml:space="preserve">are reporting higher </w:t>
      </w:r>
      <w:r w:rsidR="00B2763E" w:rsidRPr="00343DAE">
        <w:t>comorbidity and functional group scores</w:t>
      </w:r>
      <w:r w:rsidR="00F30DCC">
        <w:t xml:space="preserve">, even much </w:t>
      </w:r>
      <w:r w:rsidR="00B2763E" w:rsidRPr="00343DAE">
        <w:t xml:space="preserve">higher than </w:t>
      </w:r>
      <w:r w:rsidR="00F30DCC">
        <w:t xml:space="preserve">scores </w:t>
      </w:r>
      <w:r w:rsidR="006349CF">
        <w:t xml:space="preserve">projected from </w:t>
      </w:r>
      <w:r w:rsidR="00343DAE">
        <w:t>the rate-setting</w:t>
      </w:r>
      <w:r w:rsidR="00F30DCC">
        <w:t xml:space="preserve"> files</w:t>
      </w:r>
      <w:r w:rsidR="006349CF">
        <w:t xml:space="preserve"> </w:t>
      </w:r>
      <w:r w:rsidR="00F30DCC">
        <w:t>with behavioral adjustment</w:t>
      </w:r>
      <w:r w:rsidR="001B4C79">
        <w:t xml:space="preserve"> as seen in</w:t>
      </w:r>
      <w:r w:rsidR="004C48AA">
        <w:t xml:space="preserve"> </w:t>
      </w:r>
      <w:r w:rsidR="004C48AA">
        <w:fldChar w:fldCharType="begin"/>
      </w:r>
      <w:r w:rsidR="004C48AA">
        <w:instrText xml:space="preserve"> REF _Ref53487768 \h </w:instrText>
      </w:r>
      <w:r w:rsidR="004C48AA">
        <w:fldChar w:fldCharType="separate"/>
      </w:r>
      <w:r w:rsidR="004C48AA">
        <w:t xml:space="preserve">Exhibit </w:t>
      </w:r>
      <w:r w:rsidR="004C48AA">
        <w:rPr>
          <w:noProof/>
        </w:rPr>
        <w:t>10</w:t>
      </w:r>
      <w:r w:rsidR="004C48AA">
        <w:fldChar w:fldCharType="end"/>
      </w:r>
      <w:r w:rsidR="00F30DCC" w:rsidRPr="003C3E65">
        <w:t>.</w:t>
      </w:r>
      <w:r w:rsidR="00F30DCC">
        <w:t xml:space="preserve"> The </w:t>
      </w:r>
      <w:r w:rsidR="001B4C79">
        <w:t xml:space="preserve">increases in </w:t>
      </w:r>
      <w:r w:rsidR="00F30DCC">
        <w:t>scores</w:t>
      </w:r>
      <w:r w:rsidR="00B2763E" w:rsidRPr="00343DAE">
        <w:t xml:space="preserve"> </w:t>
      </w:r>
      <w:r>
        <w:t>could be</w:t>
      </w:r>
      <w:r w:rsidR="001B4C79">
        <w:t xml:space="preserve"> part</w:t>
      </w:r>
      <w:r>
        <w:t>ially</w:t>
      </w:r>
      <w:r w:rsidR="001B4C79">
        <w:t xml:space="preserve"> explained by the change in coding behavior as anticipated by CMS but also by</w:t>
      </w:r>
      <w:r w:rsidR="00B2763E" w:rsidRPr="00343DAE">
        <w:t xml:space="preserve"> </w:t>
      </w:r>
      <w:r w:rsidR="001B4C79">
        <w:t>the</w:t>
      </w:r>
      <w:r w:rsidR="00B2763E" w:rsidRPr="00343DAE">
        <w:t xml:space="preserve"> relative increase in case-mix severity</w:t>
      </w:r>
      <w:r w:rsidR="00343DAE">
        <w:t xml:space="preserve"> due the </w:t>
      </w:r>
      <w:r w:rsidR="00152211">
        <w:t xml:space="preserve">ongoing </w:t>
      </w:r>
      <w:r w:rsidR="00343DAE">
        <w:t>coronavirus pandemic</w:t>
      </w:r>
      <w:r w:rsidR="00B2763E" w:rsidRPr="00343DAE">
        <w:t xml:space="preserve">. </w:t>
      </w:r>
      <w:r w:rsidR="008379DE">
        <w:t xml:space="preserve">However, it is </w:t>
      </w:r>
      <w:r w:rsidR="00152211">
        <w:t>difficult</w:t>
      </w:r>
      <w:r w:rsidR="008379DE">
        <w:t xml:space="preserve"> to determine by how much each factor contributed to the </w:t>
      </w:r>
      <w:r w:rsidR="007966DB">
        <w:t xml:space="preserve">observed </w:t>
      </w:r>
      <w:r w:rsidR="008379DE">
        <w:t xml:space="preserve">comorbidity coding changes. </w:t>
      </w:r>
    </w:p>
    <w:p w14:paraId="37C5A698" w14:textId="117EC098" w:rsidR="004C48AA" w:rsidRDefault="004C48AA" w:rsidP="007966DB">
      <w:pPr>
        <w:spacing w:after="0"/>
      </w:pPr>
    </w:p>
    <w:p w14:paraId="3494DDE6" w14:textId="5E893C64" w:rsidR="004C48AA" w:rsidRDefault="004C48AA" w:rsidP="004B18BB">
      <w:pPr>
        <w:pStyle w:val="Caption"/>
      </w:pPr>
      <w:bookmarkStart w:id="15" w:name="_Ref53487768"/>
      <w:r>
        <w:lastRenderedPageBreak/>
        <w:t xml:space="preserve">Exhibit </w:t>
      </w:r>
      <w:fldSimple w:instr=" SEQ Exhibit \* ARABIC ">
        <w:r>
          <w:rPr>
            <w:noProof/>
          </w:rPr>
          <w:t>10</w:t>
        </w:r>
      </w:fldSimple>
      <w:bookmarkEnd w:id="15"/>
      <w:r w:rsidRPr="003C3E65">
        <w:t>: PDGM Case-Mix Categories January-</w:t>
      </w:r>
      <w:r>
        <w:t>June</w:t>
      </w:r>
      <w:r w:rsidRPr="003C3E65">
        <w:t xml:space="preserve"> 2020, Actual and Projected (with and without BA)</w:t>
      </w:r>
    </w:p>
    <w:p w14:paraId="5728D645" w14:textId="0C5D7121" w:rsidR="00C50A1E" w:rsidRDefault="007B3768" w:rsidP="007966DB">
      <w:pPr>
        <w:spacing w:after="0"/>
        <w:rPr>
          <w:color w:val="C00000"/>
        </w:rPr>
      </w:pPr>
      <w:r>
        <w:rPr>
          <w:noProof/>
          <w:color w:val="C00000"/>
        </w:rPr>
        <w:drawing>
          <wp:inline distT="0" distB="0" distL="0" distR="0" wp14:anchorId="5B8ABEC4" wp14:editId="526165D5">
            <wp:extent cx="4152900" cy="372140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72131" cy="3738633"/>
                    </a:xfrm>
                    <a:prstGeom prst="rect">
                      <a:avLst/>
                    </a:prstGeom>
                    <a:noFill/>
                  </pic:spPr>
                </pic:pic>
              </a:graphicData>
            </a:graphic>
          </wp:inline>
        </w:drawing>
      </w:r>
    </w:p>
    <w:p w14:paraId="54B0EB75" w14:textId="77777777" w:rsidR="003C3E65" w:rsidRPr="0060355B" w:rsidRDefault="003C3E65" w:rsidP="0060355B">
      <w:pPr>
        <w:ind w:right="0"/>
        <w:rPr>
          <w:rFonts w:cstheme="minorHAnsi"/>
        </w:rPr>
      </w:pPr>
      <w:r w:rsidRPr="00FC0753">
        <w:rPr>
          <w:rFonts w:cstheme="minorHAnsi"/>
          <w:i/>
          <w:iCs/>
          <w:sz w:val="18"/>
          <w:szCs w:val="18"/>
        </w:rPr>
        <w:t>Source: Dobson | DaVanzo Analysis of HH Claims in DUAs LDS 53367 and RIF 54757</w:t>
      </w:r>
    </w:p>
    <w:p w14:paraId="2245D1E7" w14:textId="77C9C126" w:rsidR="00C36087" w:rsidRPr="00161F15" w:rsidRDefault="001B4C79" w:rsidP="00161F15">
      <w:pPr>
        <w:ind w:right="0"/>
      </w:pPr>
      <w:r w:rsidRPr="00C36087">
        <w:t xml:space="preserve">While the </w:t>
      </w:r>
      <w:r w:rsidR="00C36087">
        <w:t xml:space="preserve">above data in </w:t>
      </w:r>
      <w:r w:rsidR="004C48AA">
        <w:fldChar w:fldCharType="begin"/>
      </w:r>
      <w:r w:rsidR="004C48AA">
        <w:instrText xml:space="preserve"> REF _Ref53487768 \h </w:instrText>
      </w:r>
      <w:r w:rsidR="004C48AA">
        <w:fldChar w:fldCharType="separate"/>
      </w:r>
      <w:r w:rsidR="004C48AA">
        <w:t xml:space="preserve">Exhibit </w:t>
      </w:r>
      <w:r w:rsidR="004C48AA">
        <w:rPr>
          <w:noProof/>
        </w:rPr>
        <w:t>10</w:t>
      </w:r>
      <w:r w:rsidR="004C48AA">
        <w:fldChar w:fldCharType="end"/>
      </w:r>
      <w:r w:rsidR="007D29B4">
        <w:t xml:space="preserve"> </w:t>
      </w:r>
      <w:r w:rsidR="00C36087">
        <w:t xml:space="preserve">show </w:t>
      </w:r>
      <w:r w:rsidRPr="00C36087">
        <w:t xml:space="preserve">that providers </w:t>
      </w:r>
      <w:r w:rsidR="00C36087">
        <w:t>coded for high comorbidity and functional status more frequently</w:t>
      </w:r>
      <w:r w:rsidRPr="00C36087">
        <w:t>, total volume of high comorbidity and functional need patients remained relatively consistent</w:t>
      </w:r>
      <w:r w:rsidR="00C36087">
        <w:t xml:space="preserve"> as shown in</w:t>
      </w:r>
      <w:r w:rsidR="00A26989">
        <w:rPr>
          <w:b/>
          <w:bCs/>
        </w:rPr>
        <w:t xml:space="preserve"> </w:t>
      </w:r>
      <w:r w:rsidR="00A26989">
        <w:rPr>
          <w:b/>
          <w:bCs/>
        </w:rPr>
        <w:fldChar w:fldCharType="begin"/>
      </w:r>
      <w:r w:rsidR="00A26989">
        <w:rPr>
          <w:b/>
          <w:bCs/>
        </w:rPr>
        <w:instrText xml:space="preserve"> REF _Ref53488264 \h </w:instrText>
      </w:r>
      <w:r w:rsidR="00A26989">
        <w:rPr>
          <w:b/>
          <w:bCs/>
        </w:rPr>
      </w:r>
      <w:r w:rsidR="00A26989">
        <w:rPr>
          <w:b/>
          <w:bCs/>
        </w:rPr>
        <w:fldChar w:fldCharType="separate"/>
      </w:r>
      <w:r w:rsidR="00A26989">
        <w:t xml:space="preserve">Exhibit </w:t>
      </w:r>
      <w:r w:rsidR="00A26989">
        <w:rPr>
          <w:noProof/>
        </w:rPr>
        <w:t>11</w:t>
      </w:r>
      <w:r w:rsidR="00A26989">
        <w:rPr>
          <w:b/>
          <w:bCs/>
        </w:rPr>
        <w:fldChar w:fldCharType="end"/>
      </w:r>
      <w:r w:rsidR="00A26989">
        <w:rPr>
          <w:b/>
          <w:bCs/>
        </w:rPr>
        <w:t>.</w:t>
      </w:r>
      <w:r w:rsidR="007A4D24">
        <w:rPr>
          <w:b/>
          <w:bCs/>
        </w:rPr>
        <w:t xml:space="preserve"> </w:t>
      </w:r>
      <w:r w:rsidR="00161F15">
        <w:t xml:space="preserve">This suggests that observed shifts are more likely due to the COVID-19 PHE – as overall case volume drops, cases that still occur are likely to serve higher need patients. </w:t>
      </w:r>
    </w:p>
    <w:p w14:paraId="28AB8C11" w14:textId="4B54A875" w:rsidR="00A26989" w:rsidRDefault="00A26989" w:rsidP="004B18BB">
      <w:pPr>
        <w:pStyle w:val="Caption"/>
        <w:ind w:right="810"/>
      </w:pPr>
      <w:bookmarkStart w:id="16" w:name="_Ref53488264"/>
      <w:r>
        <w:t xml:space="preserve">Exhibit </w:t>
      </w:r>
      <w:fldSimple w:instr=" SEQ Exhibit \* ARABIC ">
        <w:r>
          <w:rPr>
            <w:noProof/>
          </w:rPr>
          <w:t>11</w:t>
        </w:r>
      </w:fldSimple>
      <w:bookmarkEnd w:id="16"/>
      <w:r>
        <w:t xml:space="preserve">: </w:t>
      </w:r>
      <w:r w:rsidRPr="007822B6">
        <w:t>High Functional Group and Comorbidity Tier Total Volumes vs. Projections with and without Behavioral Adjustment</w:t>
      </w:r>
    </w:p>
    <w:p w14:paraId="69C8BCCD" w14:textId="1203B78F" w:rsidR="00A3554D" w:rsidRDefault="007B3768" w:rsidP="007822B6">
      <w:pPr>
        <w:spacing w:after="0"/>
        <w:rPr>
          <w:i/>
          <w:iCs/>
          <w:color w:val="C00000"/>
        </w:rPr>
      </w:pPr>
      <w:r w:rsidRPr="007B3768">
        <w:rPr>
          <w:i/>
          <w:iCs/>
          <w:color w:val="C00000"/>
        </w:rPr>
        <w:t xml:space="preserve"> </w:t>
      </w:r>
      <w:r w:rsidRPr="007B3768">
        <w:rPr>
          <w:noProof/>
        </w:rPr>
        <w:drawing>
          <wp:inline distT="0" distB="0" distL="0" distR="0" wp14:anchorId="31EF31C5" wp14:editId="1F5361A7">
            <wp:extent cx="5745480" cy="1888151"/>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4896" cy="1891245"/>
                    </a:xfrm>
                    <a:prstGeom prst="rect">
                      <a:avLst/>
                    </a:prstGeom>
                    <a:noFill/>
                    <a:ln>
                      <a:noFill/>
                    </a:ln>
                  </pic:spPr>
                </pic:pic>
              </a:graphicData>
            </a:graphic>
          </wp:inline>
        </w:drawing>
      </w:r>
    </w:p>
    <w:p w14:paraId="54FFFF47" w14:textId="77777777" w:rsidR="003C3E65" w:rsidRPr="007822B6" w:rsidRDefault="003C3E65" w:rsidP="007822B6">
      <w:pPr>
        <w:ind w:right="0"/>
        <w:rPr>
          <w:rFonts w:cstheme="minorHAnsi"/>
        </w:rPr>
      </w:pPr>
      <w:r w:rsidRPr="00FC0753">
        <w:rPr>
          <w:rFonts w:cstheme="minorHAnsi"/>
          <w:i/>
          <w:iCs/>
          <w:sz w:val="18"/>
          <w:szCs w:val="18"/>
        </w:rPr>
        <w:t>Source: Dobson | DaVanzo Analysis of HH Claims in DUAs LDS 53367 and RIF 54757</w:t>
      </w:r>
    </w:p>
    <w:p w14:paraId="0BF4EC75" w14:textId="34DE9AF5" w:rsidR="007966DB" w:rsidRDefault="00204156" w:rsidP="00161F15">
      <w:pPr>
        <w:tabs>
          <w:tab w:val="left" w:pos="1107"/>
        </w:tabs>
      </w:pPr>
      <w:r>
        <w:lastRenderedPageBreak/>
        <w:t>These issues tie into overall case-mix severity observations</w:t>
      </w:r>
      <w:r w:rsidR="007822B6">
        <w:t>, below</w:t>
      </w:r>
      <w:r>
        <w:t>.</w:t>
      </w:r>
    </w:p>
    <w:p w14:paraId="4E200850" w14:textId="77777777" w:rsidR="00161F15" w:rsidRDefault="00204156" w:rsidP="004B2EFA">
      <w:pPr>
        <w:pStyle w:val="Heading4"/>
      </w:pPr>
      <w:r>
        <w:t>Case-Mix Severity</w:t>
      </w:r>
    </w:p>
    <w:p w14:paraId="3DEBCDAA" w14:textId="5AEB6B50" w:rsidR="00204156" w:rsidRDefault="00204156" w:rsidP="00204156">
      <w:pPr>
        <w:tabs>
          <w:tab w:val="left" w:pos="1107"/>
        </w:tabs>
        <w:ind w:right="0"/>
      </w:pPr>
      <w:r>
        <w:t xml:space="preserve">A key issue in both the transition to PDGM and the ongoing COVID-19 PHE is the overall severity or patient service need of home health </w:t>
      </w:r>
      <w:r w:rsidR="007966DB">
        <w:t>users</w:t>
      </w:r>
      <w:r>
        <w:t xml:space="preserve">. We </w:t>
      </w:r>
      <w:r w:rsidR="007966DB">
        <w:t>apply</w:t>
      </w:r>
      <w:r>
        <w:t xml:space="preserve"> the aggregate case-mix weight as a numerical signifier of case-mix severity (or patient service need) as it denotes the expected relative case resource use. As the pandemic has led to major volume declines, the apparent case-mix severity has increased</w:t>
      </w:r>
      <w:r w:rsidR="00826D93">
        <w:t xml:space="preserve"> given the insensity of the remaining cases</w:t>
      </w:r>
      <w:r>
        <w:t xml:space="preserve">. From our observations, it appears that the volume decline and LUPA rate increases affect lower severity cases. In other words, patients who needed greater service use were more likely to get home health care and have a fully paid episode than otherwise. </w:t>
      </w:r>
    </w:p>
    <w:p w14:paraId="1A3DBC1E" w14:textId="2A8B3B47" w:rsidR="00204156" w:rsidRDefault="00204156" w:rsidP="00204156">
      <w:pPr>
        <w:tabs>
          <w:tab w:val="left" w:pos="1107"/>
        </w:tabs>
        <w:ind w:right="0"/>
      </w:pPr>
      <w:r>
        <w:t>For January-</w:t>
      </w:r>
      <w:r w:rsidR="004B18BB">
        <w:t xml:space="preserve">June </w:t>
      </w:r>
      <w:r>
        <w:t>2020, we compare the aggregate case-mix weights across cases:</w:t>
      </w:r>
    </w:p>
    <w:p w14:paraId="4D6677B4" w14:textId="3A6DCF30" w:rsidR="00204156" w:rsidRDefault="00204156" w:rsidP="00901FCC">
      <w:pPr>
        <w:pStyle w:val="ListParagraph"/>
        <w:numPr>
          <w:ilvl w:val="0"/>
          <w:numId w:val="6"/>
        </w:numPr>
        <w:tabs>
          <w:tab w:val="left" w:pos="1107"/>
        </w:tabs>
      </w:pPr>
      <w:r>
        <w:t>Projected without Behavioral Assumption: 1.01</w:t>
      </w:r>
    </w:p>
    <w:p w14:paraId="6F0B260E" w14:textId="21B2275A" w:rsidR="00204156" w:rsidRDefault="00204156" w:rsidP="00901FCC">
      <w:pPr>
        <w:pStyle w:val="ListParagraph"/>
        <w:numPr>
          <w:ilvl w:val="0"/>
          <w:numId w:val="6"/>
        </w:numPr>
        <w:tabs>
          <w:tab w:val="left" w:pos="1107"/>
        </w:tabs>
      </w:pPr>
      <w:r>
        <w:t>Projected with Behavioral Assumption: 1.08</w:t>
      </w:r>
    </w:p>
    <w:p w14:paraId="19BFD5FC" w14:textId="4A9C630A" w:rsidR="00204156" w:rsidRDefault="00204156" w:rsidP="00901FCC">
      <w:pPr>
        <w:pStyle w:val="ListParagraph"/>
        <w:numPr>
          <w:ilvl w:val="0"/>
          <w:numId w:val="6"/>
        </w:numPr>
        <w:tabs>
          <w:tab w:val="left" w:pos="1107"/>
        </w:tabs>
      </w:pPr>
      <w:r>
        <w:t>Observed claims: 1.0</w:t>
      </w:r>
      <w:r w:rsidR="00A26989">
        <w:t>5</w:t>
      </w:r>
    </w:p>
    <w:p w14:paraId="059E7E15" w14:textId="076D2A27" w:rsidR="005F1B74" w:rsidRDefault="00204156" w:rsidP="004B18BB">
      <w:pPr>
        <w:tabs>
          <w:tab w:val="left" w:pos="1107"/>
        </w:tabs>
        <w:ind w:right="0"/>
        <w:rPr>
          <w:rFonts w:cstheme="minorHAnsi"/>
        </w:rPr>
      </w:pPr>
      <w:r>
        <w:t xml:space="preserve">However, as </w:t>
      </w:r>
      <w:r w:rsidR="00826D93">
        <w:t xml:space="preserve">shown </w:t>
      </w:r>
      <w:r>
        <w:t>above in</w:t>
      </w:r>
      <w:r w:rsidR="004B3AC4">
        <w:t xml:space="preserve"> </w:t>
      </w:r>
      <w:r w:rsidR="004B3AC4">
        <w:fldChar w:fldCharType="begin"/>
      </w:r>
      <w:r w:rsidR="004B3AC4">
        <w:instrText xml:space="preserve"> REF _Ref53488264 \h </w:instrText>
      </w:r>
      <w:r w:rsidR="004B3AC4">
        <w:fldChar w:fldCharType="separate"/>
      </w:r>
      <w:r w:rsidR="004B3AC4">
        <w:t xml:space="preserve">Exhibit </w:t>
      </w:r>
      <w:r w:rsidR="004B3AC4">
        <w:rPr>
          <w:noProof/>
        </w:rPr>
        <w:t>11</w:t>
      </w:r>
      <w:r w:rsidR="004B3AC4">
        <w:fldChar w:fldCharType="end"/>
      </w:r>
      <w:r w:rsidR="007822B6">
        <w:t xml:space="preserve">, </w:t>
      </w:r>
      <w:r>
        <w:t xml:space="preserve">the relative increase in case-mix weights </w:t>
      </w:r>
      <w:r w:rsidR="00901FCC">
        <w:t>may</w:t>
      </w:r>
      <w:r>
        <w:t xml:space="preserve"> be driven by </w:t>
      </w:r>
      <w:r w:rsidR="006E604E">
        <w:t>a reduction</w:t>
      </w:r>
      <w:r>
        <w:t xml:space="preserve"> in low-severity cases </w:t>
      </w:r>
      <w:r w:rsidR="00901FCC">
        <w:t>more</w:t>
      </w:r>
      <w:r>
        <w:t xml:space="preserve"> than </w:t>
      </w:r>
      <w:r w:rsidR="00901FCC">
        <w:t xml:space="preserve">changes in coding. Indeed, clinical groups coding remained close to historical case-mix while overall severity increased. </w:t>
      </w:r>
    </w:p>
    <w:p w14:paraId="2C579165" w14:textId="3A69F303" w:rsidR="003F6E12" w:rsidRDefault="00A64A52" w:rsidP="007C3BAD">
      <w:pPr>
        <w:ind w:right="0"/>
        <w:rPr>
          <w:spacing w:val="0"/>
          <w:kern w:val="0"/>
        </w:rPr>
      </w:pPr>
      <w:r>
        <w:rPr>
          <w:spacing w:val="0"/>
          <w:kern w:val="0"/>
        </w:rPr>
        <w:t>This results in apparent shifts in aggregate case-mix weight across payment categori</w:t>
      </w:r>
      <w:r w:rsidR="007C3BAD">
        <w:rPr>
          <w:spacing w:val="0"/>
          <w:kern w:val="0"/>
        </w:rPr>
        <w:t>es</w:t>
      </w:r>
      <w:r w:rsidR="0060355B">
        <w:rPr>
          <w:spacing w:val="0"/>
          <w:kern w:val="0"/>
        </w:rPr>
        <w:t xml:space="preserve"> in </w:t>
      </w:r>
      <w:r w:rsidR="004B3AC4">
        <w:rPr>
          <w:spacing w:val="0"/>
          <w:kern w:val="0"/>
        </w:rPr>
        <w:fldChar w:fldCharType="begin"/>
      </w:r>
      <w:r w:rsidR="004B3AC4">
        <w:rPr>
          <w:spacing w:val="0"/>
          <w:kern w:val="0"/>
        </w:rPr>
        <w:instrText xml:space="preserve"> REF _Ref53488839 \h </w:instrText>
      </w:r>
      <w:r w:rsidR="004B3AC4">
        <w:rPr>
          <w:spacing w:val="0"/>
          <w:kern w:val="0"/>
        </w:rPr>
      </w:r>
      <w:r w:rsidR="004B3AC4">
        <w:rPr>
          <w:spacing w:val="0"/>
          <w:kern w:val="0"/>
        </w:rPr>
        <w:fldChar w:fldCharType="separate"/>
      </w:r>
      <w:r w:rsidR="004B3AC4">
        <w:t xml:space="preserve">Exhibit </w:t>
      </w:r>
      <w:r w:rsidR="004B3AC4">
        <w:rPr>
          <w:noProof/>
        </w:rPr>
        <w:t>12</w:t>
      </w:r>
      <w:r w:rsidR="004B3AC4">
        <w:rPr>
          <w:spacing w:val="0"/>
          <w:kern w:val="0"/>
        </w:rPr>
        <w:fldChar w:fldCharType="end"/>
      </w:r>
      <w:r w:rsidR="004B3AC4">
        <w:rPr>
          <w:spacing w:val="0"/>
          <w:kern w:val="0"/>
        </w:rPr>
        <w:t xml:space="preserve"> and </w:t>
      </w:r>
      <w:r w:rsidR="004B3AC4">
        <w:rPr>
          <w:spacing w:val="0"/>
          <w:kern w:val="0"/>
        </w:rPr>
        <w:fldChar w:fldCharType="begin"/>
      </w:r>
      <w:r w:rsidR="004B3AC4">
        <w:rPr>
          <w:spacing w:val="0"/>
          <w:kern w:val="0"/>
        </w:rPr>
        <w:instrText xml:space="preserve"> REF _Ref53488842 \h </w:instrText>
      </w:r>
      <w:r w:rsidR="004B3AC4">
        <w:rPr>
          <w:spacing w:val="0"/>
          <w:kern w:val="0"/>
        </w:rPr>
      </w:r>
      <w:r w:rsidR="004B3AC4">
        <w:rPr>
          <w:spacing w:val="0"/>
          <w:kern w:val="0"/>
        </w:rPr>
        <w:fldChar w:fldCharType="separate"/>
      </w:r>
      <w:r w:rsidR="004B3AC4">
        <w:t xml:space="preserve">Exhibit </w:t>
      </w:r>
      <w:r w:rsidR="004B3AC4">
        <w:rPr>
          <w:noProof/>
        </w:rPr>
        <w:t>13</w:t>
      </w:r>
      <w:r w:rsidR="004B3AC4">
        <w:rPr>
          <w:spacing w:val="0"/>
          <w:kern w:val="0"/>
        </w:rPr>
        <w:fldChar w:fldCharType="end"/>
      </w:r>
      <w:r w:rsidR="007C3BAD">
        <w:rPr>
          <w:spacing w:val="0"/>
          <w:kern w:val="0"/>
        </w:rPr>
        <w:t>. Case-mix severity increases appear to be largely due to the distribution of cases across the functional groups</w:t>
      </w:r>
      <w:r w:rsidR="0060355B">
        <w:rPr>
          <w:spacing w:val="0"/>
          <w:kern w:val="0"/>
        </w:rPr>
        <w:t xml:space="preserve"> in</w:t>
      </w:r>
      <w:r w:rsidR="004B3AC4">
        <w:rPr>
          <w:spacing w:val="0"/>
          <w:kern w:val="0"/>
        </w:rPr>
        <w:t xml:space="preserve"> </w:t>
      </w:r>
      <w:r w:rsidR="004B3AC4">
        <w:rPr>
          <w:spacing w:val="0"/>
          <w:kern w:val="0"/>
        </w:rPr>
        <w:fldChar w:fldCharType="begin"/>
      </w:r>
      <w:r w:rsidR="004B3AC4">
        <w:rPr>
          <w:spacing w:val="0"/>
          <w:kern w:val="0"/>
        </w:rPr>
        <w:instrText xml:space="preserve"> REF _Ref53488842 \h </w:instrText>
      </w:r>
      <w:r w:rsidR="004B3AC4">
        <w:rPr>
          <w:spacing w:val="0"/>
          <w:kern w:val="0"/>
        </w:rPr>
      </w:r>
      <w:r w:rsidR="004B3AC4">
        <w:rPr>
          <w:spacing w:val="0"/>
          <w:kern w:val="0"/>
        </w:rPr>
        <w:fldChar w:fldCharType="separate"/>
      </w:r>
      <w:r w:rsidR="004B3AC4">
        <w:t xml:space="preserve">Exhibit </w:t>
      </w:r>
      <w:r w:rsidR="004B3AC4">
        <w:rPr>
          <w:noProof/>
        </w:rPr>
        <w:t>13</w:t>
      </w:r>
      <w:r w:rsidR="004B3AC4">
        <w:rPr>
          <w:spacing w:val="0"/>
          <w:kern w:val="0"/>
        </w:rPr>
        <w:fldChar w:fldCharType="end"/>
      </w:r>
      <w:r w:rsidR="007C3BAD">
        <w:rPr>
          <w:spacing w:val="0"/>
          <w:kern w:val="0"/>
        </w:rPr>
        <w:t>. While all other case-mix variables show some amount of shift from historical expected case-mix weights, the functional groups are very close to the historical weights. This indicates that holding the functional status constant, case-mix severity did not change substantially</w:t>
      </w:r>
      <w:r w:rsidR="00C87F31">
        <w:rPr>
          <w:spacing w:val="0"/>
          <w:kern w:val="0"/>
        </w:rPr>
        <w:t xml:space="preserve"> – in other words, increases in apparent severity appear largely driven by </w:t>
      </w:r>
      <w:r w:rsidR="007966DB">
        <w:rPr>
          <w:spacing w:val="0"/>
          <w:kern w:val="0"/>
        </w:rPr>
        <w:t xml:space="preserve">the distribution of cases across </w:t>
      </w:r>
      <w:r w:rsidR="00C87F31">
        <w:rPr>
          <w:spacing w:val="0"/>
          <w:kern w:val="0"/>
        </w:rPr>
        <w:t>functional groups</w:t>
      </w:r>
      <w:r w:rsidR="007C3BAD">
        <w:rPr>
          <w:spacing w:val="0"/>
          <w:kern w:val="0"/>
        </w:rPr>
        <w:t>.</w:t>
      </w:r>
      <w:r w:rsidR="00C87F31">
        <w:rPr>
          <w:spacing w:val="0"/>
          <w:kern w:val="0"/>
        </w:rPr>
        <w:t xml:space="preserve"> </w:t>
      </w:r>
    </w:p>
    <w:p w14:paraId="40E66017" w14:textId="30A37B61" w:rsidR="004B3AC4" w:rsidRDefault="004B3AC4" w:rsidP="004B18BB">
      <w:pPr>
        <w:pStyle w:val="Caption"/>
        <w:ind w:right="2610"/>
      </w:pPr>
      <w:bookmarkStart w:id="17" w:name="_Ref53488839"/>
      <w:r>
        <w:lastRenderedPageBreak/>
        <w:t xml:space="preserve">Exhibit </w:t>
      </w:r>
      <w:fldSimple w:instr=" SEQ Exhibit \* ARABIC ">
        <w:r>
          <w:rPr>
            <w:noProof/>
          </w:rPr>
          <w:t>12</w:t>
        </w:r>
      </w:fldSimple>
      <w:bookmarkEnd w:id="17"/>
      <w:r>
        <w:t xml:space="preserve">: </w:t>
      </w:r>
      <w:r w:rsidRPr="003F6E12">
        <w:t xml:space="preserve">Observed </w:t>
      </w:r>
      <w:r>
        <w:t xml:space="preserve">Average </w:t>
      </w:r>
      <w:r w:rsidRPr="003F6E12">
        <w:t>Clinical Group</w:t>
      </w:r>
      <w:r>
        <w:t xml:space="preserve"> Case-Mix Weight </w:t>
      </w:r>
      <w:r w:rsidRPr="003F6E12">
        <w:t>January-</w:t>
      </w:r>
      <w:r>
        <w:t>June</w:t>
      </w:r>
      <w:r w:rsidRPr="003F6E12">
        <w:t xml:space="preserve"> 2020 Compared to Projected Clinical Groups (with and without Behavioral Adjustments)</w:t>
      </w:r>
    </w:p>
    <w:p w14:paraId="3EE6B615" w14:textId="4C6C8A8D" w:rsidR="007C3BAD" w:rsidRDefault="00952E8E" w:rsidP="0060355B">
      <w:pPr>
        <w:spacing w:after="0"/>
        <w:rPr>
          <w:spacing w:val="0"/>
          <w:kern w:val="0"/>
        </w:rPr>
      </w:pPr>
      <w:r>
        <w:rPr>
          <w:noProof/>
          <w:spacing w:val="0"/>
          <w:kern w:val="0"/>
        </w:rPr>
        <w:drawing>
          <wp:inline distT="0" distB="0" distL="0" distR="0" wp14:anchorId="752B1018" wp14:editId="29DA350E">
            <wp:extent cx="3642360" cy="37095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42360" cy="3709560"/>
                    </a:xfrm>
                    <a:prstGeom prst="rect">
                      <a:avLst/>
                    </a:prstGeom>
                    <a:noFill/>
                  </pic:spPr>
                </pic:pic>
              </a:graphicData>
            </a:graphic>
          </wp:inline>
        </w:drawing>
      </w:r>
    </w:p>
    <w:p w14:paraId="33E41A06" w14:textId="77777777" w:rsidR="00A64A52" w:rsidRPr="0060355B" w:rsidRDefault="003F6E12" w:rsidP="0060355B">
      <w:pPr>
        <w:ind w:right="0"/>
        <w:rPr>
          <w:rFonts w:cstheme="minorHAnsi"/>
        </w:rPr>
      </w:pPr>
      <w:r w:rsidRPr="00FC0753">
        <w:rPr>
          <w:rFonts w:cstheme="minorHAnsi"/>
          <w:i/>
          <w:iCs/>
          <w:sz w:val="18"/>
          <w:szCs w:val="18"/>
        </w:rPr>
        <w:t>Source: Dobson | DaVanzo Analysis of HH Claims in DUAs LDS 53367 and RIF 54757</w:t>
      </w:r>
    </w:p>
    <w:p w14:paraId="1AECF9F8" w14:textId="49732E07" w:rsidR="004B3AC4" w:rsidRDefault="004B3AC4" w:rsidP="004B18BB">
      <w:pPr>
        <w:pStyle w:val="Caption"/>
        <w:ind w:right="2790"/>
      </w:pPr>
      <w:bookmarkStart w:id="18" w:name="_Ref53488842"/>
      <w:r>
        <w:t xml:space="preserve">Exhibit </w:t>
      </w:r>
      <w:fldSimple w:instr=" SEQ Exhibit \* ARABIC ">
        <w:r>
          <w:rPr>
            <w:noProof/>
          </w:rPr>
          <w:t>13</w:t>
        </w:r>
      </w:fldSimple>
      <w:bookmarkEnd w:id="18"/>
      <w:r>
        <w:t xml:space="preserve">: </w:t>
      </w:r>
      <w:r w:rsidRPr="003F6E12">
        <w:t xml:space="preserve">PDGM Case-Mix Categories </w:t>
      </w:r>
      <w:r>
        <w:t xml:space="preserve">Average Case Weights, </w:t>
      </w:r>
      <w:r w:rsidRPr="003F6E12">
        <w:t>January-</w:t>
      </w:r>
      <w:r>
        <w:t>June</w:t>
      </w:r>
      <w:r w:rsidRPr="003F6E12">
        <w:t xml:space="preserve"> 2020, Actual and Projected (with and without BA)</w:t>
      </w:r>
    </w:p>
    <w:p w14:paraId="01924120" w14:textId="19A24E18" w:rsidR="007C3BAD" w:rsidRDefault="00952E8E" w:rsidP="004B18BB">
      <w:pPr>
        <w:spacing w:after="0"/>
        <w:rPr>
          <w:spacing w:val="0"/>
          <w:kern w:val="0"/>
        </w:rPr>
      </w:pPr>
      <w:r>
        <w:rPr>
          <w:noProof/>
          <w:spacing w:val="0"/>
          <w:kern w:val="0"/>
        </w:rPr>
        <w:drawing>
          <wp:inline distT="0" distB="0" distL="0" distR="0" wp14:anchorId="1765A911" wp14:editId="5AA35792">
            <wp:extent cx="3779520" cy="29298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96881" cy="2943348"/>
                    </a:xfrm>
                    <a:prstGeom prst="rect">
                      <a:avLst/>
                    </a:prstGeom>
                    <a:noFill/>
                  </pic:spPr>
                </pic:pic>
              </a:graphicData>
            </a:graphic>
          </wp:inline>
        </w:drawing>
      </w:r>
    </w:p>
    <w:p w14:paraId="62D9259D" w14:textId="77777777" w:rsidR="003F6E12" w:rsidRDefault="003F6E12" w:rsidP="003F6E12">
      <w:pPr>
        <w:ind w:right="0"/>
        <w:rPr>
          <w:rFonts w:cstheme="minorHAnsi"/>
        </w:rPr>
      </w:pPr>
      <w:r w:rsidRPr="00FC0753">
        <w:rPr>
          <w:rFonts w:cstheme="minorHAnsi"/>
          <w:i/>
          <w:iCs/>
          <w:sz w:val="18"/>
          <w:szCs w:val="18"/>
        </w:rPr>
        <w:t>Source: Dobson | DaVanzo Analysis of HH Claims in DUAs LDS 53367 and RIF 54757</w:t>
      </w:r>
    </w:p>
    <w:p w14:paraId="3F84F2B2" w14:textId="77777777" w:rsidR="004B2EFA" w:rsidRDefault="000A4921" w:rsidP="000A4921">
      <w:pPr>
        <w:pStyle w:val="Heading2"/>
      </w:pPr>
      <w:r>
        <w:lastRenderedPageBreak/>
        <w:t xml:space="preserve">Conclusion and </w:t>
      </w:r>
      <w:r w:rsidR="004B2EFA" w:rsidRPr="000A4921">
        <w:t xml:space="preserve">Policy Implications </w:t>
      </w:r>
    </w:p>
    <w:p w14:paraId="6A5F62DD" w14:textId="01ECC67D" w:rsidR="000A4921" w:rsidRPr="007A4D24" w:rsidRDefault="0060355B" w:rsidP="000A4921">
      <w:pPr>
        <w:ind w:right="0"/>
      </w:pPr>
      <w:r>
        <w:t xml:space="preserve">CY2020 </w:t>
      </w:r>
      <w:r w:rsidR="000A4921">
        <w:t xml:space="preserve">PDGM </w:t>
      </w:r>
      <w:r>
        <w:t xml:space="preserve">implementation </w:t>
      </w:r>
      <w:r w:rsidR="000A4921">
        <w:t xml:space="preserve">has disrupted home health operations which were then </w:t>
      </w:r>
      <w:r w:rsidR="007966DB">
        <w:t>coincidentally</w:t>
      </w:r>
      <w:r w:rsidR="00EF1FC8">
        <w:t xml:space="preserve"> </w:t>
      </w:r>
      <w:r w:rsidR="000A4921">
        <w:t xml:space="preserve">impacted by the COVID-19 PHE. Regardless of the root cause, </w:t>
      </w:r>
      <w:r w:rsidR="001F16BC">
        <w:t xml:space="preserve">two of the three </w:t>
      </w:r>
      <w:r w:rsidR="000A4921">
        <w:t>anticipated b</w:t>
      </w:r>
      <w:r w:rsidR="000A4921" w:rsidRPr="00C36087">
        <w:t xml:space="preserve">ehavioral </w:t>
      </w:r>
      <w:r w:rsidR="000A4921">
        <w:t xml:space="preserve">changes that CMS used to justify prospective payment rate reductions </w:t>
      </w:r>
      <w:r w:rsidR="001F16BC">
        <w:t xml:space="preserve">have </w:t>
      </w:r>
      <w:r w:rsidR="00A13C42">
        <w:t xml:space="preserve">not </w:t>
      </w:r>
      <w:r w:rsidR="000A4921">
        <w:t>occur</w:t>
      </w:r>
      <w:r w:rsidR="001F16BC">
        <w:t xml:space="preserve">red as of </w:t>
      </w:r>
      <w:r w:rsidR="004B3AC4">
        <w:t xml:space="preserve">June </w:t>
      </w:r>
      <w:r w:rsidR="001F16BC">
        <w:t>– o</w:t>
      </w:r>
      <w:r w:rsidR="000A4921">
        <w:t>verall payments and case volume are down with very high LUPA rates. This affects case-mix severity in complex ways</w:t>
      </w:r>
      <w:r>
        <w:t>; the PHE may be the predominant cause of the observed increase in case-mix severity</w:t>
      </w:r>
      <w:r w:rsidR="001F16BC">
        <w:t xml:space="preserve"> rather than provider</w:t>
      </w:r>
      <w:r w:rsidR="00826D93">
        <w:t xml:space="preserve"> coding</w:t>
      </w:r>
      <w:r w:rsidR="001F16BC">
        <w:t xml:space="preserve"> adjustments.</w:t>
      </w:r>
    </w:p>
    <w:p w14:paraId="6860AE12" w14:textId="6F688E45" w:rsidR="004B2EFA" w:rsidRDefault="004B2EFA" w:rsidP="004B2EFA">
      <w:pPr>
        <w:tabs>
          <w:tab w:val="left" w:pos="7560"/>
        </w:tabs>
        <w:ind w:right="0"/>
      </w:pPr>
      <w:r>
        <w:t xml:space="preserve">In the near-term, CMS may consider taking corrective action to increase the base rate so the </w:t>
      </w:r>
      <w:r w:rsidR="007966DB">
        <w:t>HH PPS</w:t>
      </w:r>
      <w:r>
        <w:t xml:space="preserve"> will be more likely to achieve budget neutrality in </w:t>
      </w:r>
      <w:r w:rsidR="007966DB">
        <w:t>CY2021</w:t>
      </w:r>
      <w:r w:rsidR="001F16BC">
        <w:t xml:space="preserve">, as authorized </w:t>
      </w:r>
      <w:r w:rsidR="007966DB">
        <w:t>by</w:t>
      </w:r>
      <w:r w:rsidR="001F16BC">
        <w:t xml:space="preserve"> the Bipartisan Budget Act of 2018</w:t>
      </w:r>
      <w:r>
        <w:t xml:space="preserve">. </w:t>
      </w:r>
      <w:r w:rsidR="000E49B0">
        <w:t xml:space="preserve">We do not suggest that CMS take supportive action for home health agencies via the HH PPS as a bulwark for beneficiary access amidst the ongoing PHE; other policy mechanisms of action are being </w:t>
      </w:r>
      <w:r w:rsidR="006E604E">
        <w:t xml:space="preserve">applied </w:t>
      </w:r>
      <w:r w:rsidR="000E49B0">
        <w:t xml:space="preserve">to that purpose and these actions address the volume shortfall. Rather, we discuss budget neutrality in terms of average payment which is not affected by this volume shortfall – regardless of other mechanisms used to support agencies through COVID-19, the 2020 base payment </w:t>
      </w:r>
      <w:r w:rsidR="000E49B0" w:rsidRPr="000E49B0">
        <w:rPr>
          <w:b/>
          <w:bCs/>
        </w:rPr>
        <w:t>rate</w:t>
      </w:r>
      <w:r w:rsidR="000E49B0">
        <w:t xml:space="preserve"> is not budget neutral which affects payment adequacy in the near- and long-term. </w:t>
      </w:r>
      <w:r>
        <w:t xml:space="preserve">Looking ahead, PDGM implementation and regulatory changes enacted (temporarily or permanently) to support beneficiary access </w:t>
      </w:r>
      <w:r w:rsidR="001F16BC">
        <w:t xml:space="preserve">and health </w:t>
      </w:r>
      <w:r>
        <w:t>during</w:t>
      </w:r>
      <w:r w:rsidR="001F16BC">
        <w:t xml:space="preserve"> the</w:t>
      </w:r>
      <w:r>
        <w:t xml:space="preserve"> COVID-19 </w:t>
      </w:r>
      <w:r w:rsidR="001F16BC">
        <w:t xml:space="preserve">PHE </w:t>
      </w:r>
      <w:r>
        <w:t>will leave a lasting imprint on the data used to rebase, set payment weights, and eventually transition to new payment systems.</w:t>
      </w:r>
    </w:p>
    <w:p w14:paraId="6002D70F" w14:textId="1926EA0D" w:rsidR="004B2EFA" w:rsidRPr="004B2EFA" w:rsidRDefault="004B2EFA" w:rsidP="004B2EFA">
      <w:pPr>
        <w:tabs>
          <w:tab w:val="left" w:pos="7560"/>
        </w:tabs>
        <w:ind w:right="0"/>
      </w:pPr>
      <w:r>
        <w:t>The allowance of telehealth visits for home health services after the LUPA threshold is reached is potentially helpful in assuring continuous beneficiary access during the COVID-19 PHE</w:t>
      </w:r>
      <w:r w:rsidR="001F16BC">
        <w:t>, particularly for some monitoring and teaching services (among others) which may reasonably shift from in-person care to telehealth</w:t>
      </w:r>
      <w:r>
        <w:t xml:space="preserve">. However, there is no requirement to capture these services in the claims and telehealth costs are not well-reported in Medicare Cost Reports. As such, the service shift toward telehealth </w:t>
      </w:r>
      <w:r w:rsidR="0060355B">
        <w:t>must</w:t>
      </w:r>
      <w:r>
        <w:t xml:space="preserve"> be accounted for outside of the traditional rate setting and rebasing model</w:t>
      </w:r>
      <w:r w:rsidR="00826D93">
        <w:t>s</w:t>
      </w:r>
      <w:r w:rsidR="0060355B">
        <w:t xml:space="preserve"> at the risk of </w:t>
      </w:r>
      <w:r w:rsidR="004438FB">
        <w:t xml:space="preserve">decreasing </w:t>
      </w:r>
      <w:r w:rsidR="0060355B">
        <w:t xml:space="preserve">the payment accuracy </w:t>
      </w:r>
      <w:r w:rsidR="004438FB">
        <w:t xml:space="preserve">and adequacy </w:t>
      </w:r>
      <w:r w:rsidR="0060355B">
        <w:t>of the HH PPS</w:t>
      </w:r>
      <w:r w:rsidR="000A4921">
        <w:t>.</w:t>
      </w:r>
    </w:p>
    <w:p w14:paraId="68013137" w14:textId="77777777" w:rsidR="000A4921" w:rsidRDefault="000A4921" w:rsidP="004B2EFA">
      <w:pPr>
        <w:ind w:right="0"/>
      </w:pPr>
      <w:r>
        <w:t xml:space="preserve">Atypical volume and case-mix severity is occurring across all healthcare providers during the COVID-19 pandemic. </w:t>
      </w:r>
      <w:r w:rsidR="004B2EFA">
        <w:t>Other COVID-19 PHE responses also affect payment system data in ways which may impact future payment system reform.</w:t>
      </w:r>
      <w:r>
        <w:t xml:space="preserve"> </w:t>
      </w:r>
      <w:r w:rsidR="0060355B">
        <w:t>For instance, p</w:t>
      </w:r>
      <w:r w:rsidR="004B2EFA">
        <w:t xml:space="preserve">ost-acute care providers </w:t>
      </w:r>
      <w:r>
        <w:t>are not required to collect complete Standardized Patient Assessment Date Elements, which were designated as a key input to</w:t>
      </w:r>
      <w:r w:rsidR="00776AD4">
        <w:t xml:space="preserve"> the timeline of</w:t>
      </w:r>
      <w:r>
        <w:t xml:space="preserve"> </w:t>
      </w:r>
      <w:r w:rsidR="00776AD4">
        <w:t xml:space="preserve">payment </w:t>
      </w:r>
      <w:r>
        <w:t>reform</w:t>
      </w:r>
      <w:r w:rsidR="00776AD4">
        <w:t xml:space="preserve"> proposals </w:t>
      </w:r>
      <w:r>
        <w:t xml:space="preserve">in the IMPACT Act of 2014. </w:t>
      </w:r>
    </w:p>
    <w:p w14:paraId="2C7D22CF" w14:textId="1EC05722" w:rsidR="00AB2883" w:rsidRPr="00235C86" w:rsidRDefault="000A4921" w:rsidP="004B18BB">
      <w:pPr>
        <w:ind w:right="0"/>
      </w:pPr>
      <w:r>
        <w:t xml:space="preserve">Ultimately the COVID-19 PHE will </w:t>
      </w:r>
      <w:r w:rsidR="0060355B">
        <w:t>affect</w:t>
      </w:r>
      <w:r>
        <w:t xml:space="preserve"> future rate setting, rebasing and payment system overhauls across all Medicare </w:t>
      </w:r>
      <w:r w:rsidR="00776AD4">
        <w:t xml:space="preserve">payment </w:t>
      </w:r>
      <w:r>
        <w:t xml:space="preserve">systems. The data that </w:t>
      </w:r>
      <w:r w:rsidR="006E604E">
        <w:t xml:space="preserve">are </w:t>
      </w:r>
      <w:r>
        <w:t xml:space="preserve">normally relied upon to conduct these activities will represent a strange time and be less complete than previously (e.g. telehealth </w:t>
      </w:r>
      <w:r w:rsidR="00776AD4">
        <w:t xml:space="preserve">and </w:t>
      </w:r>
      <w:r w:rsidR="00826D93">
        <w:t>standardized patient assessment data elements (</w:t>
      </w:r>
      <w:r w:rsidR="00776AD4">
        <w:t>SPADES</w:t>
      </w:r>
      <w:r w:rsidR="00826D93">
        <w:t>)</w:t>
      </w:r>
      <w:r w:rsidR="00952E8E">
        <w:t xml:space="preserve"> </w:t>
      </w:r>
      <w:r>
        <w:t>un</w:t>
      </w:r>
      <w:r w:rsidR="00776AD4">
        <w:t>der-</w:t>
      </w:r>
      <w:r>
        <w:t>report</w:t>
      </w:r>
      <w:r w:rsidR="00776AD4">
        <w:t>ing</w:t>
      </w:r>
      <w:r>
        <w:t xml:space="preserve">). The agency will need to carefully consider how it addresses and corrects for these issues. The COVID-19 PHE is changing the shape of healthcare across the country – how CMS incorporates this into rate setting (future incentives) will help determine to what extent these changes are permanently ingrained in the payment systems. </w:t>
      </w:r>
    </w:p>
    <w:p w14:paraId="2E504776" w14:textId="77777777" w:rsidR="00776AD4" w:rsidRPr="004B2EFA" w:rsidRDefault="00776AD4" w:rsidP="004B2EFA">
      <w:pPr>
        <w:ind w:right="0"/>
      </w:pPr>
    </w:p>
    <w:sectPr w:rsidR="00776AD4" w:rsidRPr="004B2EFA" w:rsidSect="00983A68">
      <w:headerReference w:type="default" r:id="rId22"/>
      <w:footerReference w:type="default" r:id="rId23"/>
      <w:headerReference w:type="first" r:id="rId24"/>
      <w:footerReference w:type="first" r:id="rId25"/>
      <w:pgSz w:w="12240" w:h="15840"/>
      <w:pgMar w:top="1785" w:right="1440" w:bottom="144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BB983A" w14:textId="77777777" w:rsidR="00C53ABC" w:rsidRDefault="00C53ABC" w:rsidP="00393FA2">
      <w:pPr>
        <w:spacing w:after="0" w:line="240" w:lineRule="auto"/>
      </w:pPr>
      <w:r>
        <w:separator/>
      </w:r>
    </w:p>
  </w:endnote>
  <w:endnote w:type="continuationSeparator" w:id="0">
    <w:p w14:paraId="1173AEC4" w14:textId="77777777" w:rsidR="00C53ABC" w:rsidRDefault="00C53ABC" w:rsidP="00393FA2">
      <w:pPr>
        <w:spacing w:after="0" w:line="240" w:lineRule="auto"/>
      </w:pPr>
      <w:r>
        <w:continuationSeparator/>
      </w:r>
    </w:p>
  </w:endnote>
  <w:endnote w:type="continuationNotice" w:id="1">
    <w:p w14:paraId="278CF40E" w14:textId="77777777" w:rsidR="00C53ABC" w:rsidRDefault="00C53A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6DB1B" w14:textId="778083DF" w:rsidR="004B3AC4" w:rsidRPr="003260C7" w:rsidRDefault="004B3AC4" w:rsidP="003260C7">
    <w:pPr>
      <w:tabs>
        <w:tab w:val="right" w:pos="9360"/>
      </w:tabs>
      <w:suppressAutoHyphens w:val="0"/>
      <w:spacing w:before="120" w:after="0" w:line="240" w:lineRule="auto"/>
      <w:ind w:right="0"/>
      <w:rPr>
        <w:rFonts w:ascii="Calibri" w:eastAsia="Times New Roman" w:hAnsi="Calibri" w:cs="Cambria Math"/>
        <w:b/>
        <w:caps/>
        <w:spacing w:val="0"/>
        <w:kern w:val="0"/>
        <w:sz w:val="16"/>
      </w:rPr>
    </w:pPr>
    <w:r>
      <w:rPr>
        <w:rFonts w:ascii="Calibri" w:eastAsia="Times New Roman" w:hAnsi="Calibri" w:cs="Times New Roman"/>
        <w:b/>
        <w:caps/>
        <w:spacing w:val="0"/>
        <w:kern w:val="0"/>
        <w:sz w:val="16"/>
      </w:rPr>
      <w:t>cy2020 HH PPS: PDGM Evaluation</w:t>
    </w:r>
    <w:r w:rsidRPr="003260C7">
      <w:rPr>
        <w:rFonts w:ascii="Calibri" w:eastAsia="Times New Roman" w:hAnsi="Calibri" w:cs="Times New Roman"/>
        <w:b/>
        <w:caps/>
        <w:spacing w:val="0"/>
        <w:kern w:val="0"/>
        <w:sz w:val="16"/>
      </w:rPr>
      <w:tab/>
    </w:r>
    <w:sdt>
      <w:sdtPr>
        <w:rPr>
          <w:rFonts w:ascii="Calibri" w:eastAsia="Times New Roman" w:hAnsi="Calibri" w:cs="Times New Roman"/>
          <w:b/>
          <w:caps/>
          <w:spacing w:val="0"/>
          <w:kern w:val="0"/>
          <w:sz w:val="16"/>
        </w:rPr>
        <w:id w:val="-968818056"/>
      </w:sdtPr>
      <w:sdtEndPr/>
      <w:sdtContent>
        <w:r>
          <w:rPr>
            <w:rFonts w:ascii="Calibri" w:eastAsia="Times New Roman" w:hAnsi="Calibri" w:cs="Times New Roman"/>
            <w:b/>
            <w:caps/>
            <w:spacing w:val="0"/>
            <w:kern w:val="0"/>
            <w:sz w:val="16"/>
          </w:rPr>
          <w:t>Updated report</w:t>
        </w:r>
      </w:sdtContent>
    </w:sdt>
    <w:r w:rsidRPr="003260C7">
      <w:rPr>
        <w:rFonts w:ascii="Calibri" w:eastAsia="Times New Roman" w:hAnsi="Cambria Math" w:cs="Cambria Math"/>
        <w:b/>
        <w:caps/>
        <w:spacing w:val="0"/>
        <w:kern w:val="0"/>
        <w:sz w:val="16"/>
      </w:rPr>
      <w:t> </w:t>
    </w:r>
    <w:sdt>
      <w:sdtPr>
        <w:rPr>
          <w:rFonts w:ascii="Calibri" w:eastAsia="Times New Roman" w:hAnsi="Cambria Math" w:cs="Cambria Math"/>
          <w:b/>
          <w:caps/>
          <w:spacing w:val="0"/>
          <w:kern w:val="0"/>
          <w:sz w:val="16"/>
        </w:rPr>
        <w:id w:val="-211967240"/>
        <w:showingPlcHdr/>
      </w:sdtPr>
      <w:sdtEndPr>
        <w:rPr>
          <w:rFonts w:hAnsi="Calibri" w:cs="Times New Roman"/>
        </w:rPr>
      </w:sdtEndPr>
      <w:sdtContent>
        <w:r>
          <w:rPr>
            <w:rFonts w:ascii="Calibri" w:eastAsia="Times New Roman" w:hAnsi="Cambria Math" w:cs="Cambria Math"/>
            <w:b/>
            <w:caps/>
            <w:spacing w:val="0"/>
            <w:kern w:val="0"/>
            <w:sz w:val="16"/>
          </w:rPr>
          <w:t xml:space="preserve">     </w:t>
        </w:r>
      </w:sdtContent>
    </w:sdt>
    <w:r w:rsidRPr="003260C7">
      <w:rPr>
        <w:rFonts w:ascii="Calibri" w:eastAsia="Times New Roman" w:hAnsi="Cambria Math" w:cs="Cambria Math"/>
        <w:b/>
        <w:caps/>
        <w:spacing w:val="0"/>
        <w:kern w:val="0"/>
        <w:sz w:val="16"/>
      </w:rPr>
      <w:t> </w:t>
    </w:r>
    <w:r w:rsidRPr="003260C7">
      <w:rPr>
        <w:rFonts w:ascii="Calibri" w:eastAsia="Times New Roman" w:hAnsi="Calibri" w:cs="Cambria Math"/>
        <w:b/>
        <w:caps/>
        <w:spacing w:val="0"/>
        <w:kern w:val="0"/>
        <w:sz w:val="16"/>
      </w:rPr>
      <w:t>|</w:t>
    </w:r>
    <w:r w:rsidRPr="003260C7">
      <w:rPr>
        <w:rFonts w:ascii="Calibri" w:eastAsia="Times New Roman" w:hAnsi="Cambria Math" w:cs="Cambria Math"/>
        <w:b/>
        <w:caps/>
        <w:spacing w:val="0"/>
        <w:kern w:val="0"/>
        <w:sz w:val="16"/>
      </w:rPr>
      <w:t> </w:t>
    </w:r>
    <w:r w:rsidRPr="003260C7">
      <w:rPr>
        <w:rFonts w:ascii="Calibri" w:eastAsia="Times New Roman" w:hAnsi="Calibri" w:cs="Cambria Math"/>
        <w:b/>
        <w:caps/>
        <w:spacing w:val="0"/>
        <w:kern w:val="0"/>
        <w:sz w:val="16"/>
      </w:rPr>
      <w:fldChar w:fldCharType="begin"/>
    </w:r>
    <w:r w:rsidRPr="003260C7">
      <w:rPr>
        <w:rFonts w:ascii="Calibri" w:eastAsia="Times New Roman" w:hAnsi="Calibri" w:cs="Cambria Math"/>
        <w:b/>
        <w:caps/>
        <w:spacing w:val="0"/>
        <w:kern w:val="0"/>
        <w:sz w:val="16"/>
      </w:rPr>
      <w:instrText xml:space="preserve"> PAGE   \* MERGEFORMAT </w:instrText>
    </w:r>
    <w:r w:rsidRPr="003260C7">
      <w:rPr>
        <w:rFonts w:ascii="Calibri" w:eastAsia="Times New Roman" w:hAnsi="Calibri" w:cs="Cambria Math"/>
        <w:b/>
        <w:caps/>
        <w:spacing w:val="0"/>
        <w:kern w:val="0"/>
        <w:sz w:val="16"/>
      </w:rPr>
      <w:fldChar w:fldCharType="separate"/>
    </w:r>
    <w:r>
      <w:rPr>
        <w:rFonts w:ascii="Calibri" w:eastAsia="Times New Roman" w:hAnsi="Calibri" w:cs="Cambria Math"/>
        <w:b/>
        <w:caps/>
        <w:noProof/>
        <w:spacing w:val="0"/>
        <w:kern w:val="0"/>
        <w:sz w:val="16"/>
      </w:rPr>
      <w:t>6</w:t>
    </w:r>
    <w:r w:rsidRPr="003260C7">
      <w:rPr>
        <w:rFonts w:ascii="Calibri" w:eastAsia="Times New Roman" w:hAnsi="Calibri" w:cs="Cambria Math"/>
        <w:b/>
        <w:caps/>
        <w:spacing w:val="0"/>
        <w:kern w:val="0"/>
        <w:sz w:val="16"/>
      </w:rPr>
      <w:fldChar w:fldCharType="end"/>
    </w:r>
  </w:p>
  <w:p w14:paraId="69005CE5" w14:textId="77777777" w:rsidR="004B3AC4" w:rsidRPr="00C731A1" w:rsidRDefault="004B3AC4" w:rsidP="003260C7">
    <w:pPr>
      <w:pStyle w:val="Address-gray"/>
      <w:jc w:val="center"/>
    </w:pPr>
    <w:r>
      <w:t>© 2020 Dobson DaVanzo &amp; Associates, LLC.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50158" w14:textId="77777777" w:rsidR="004B3AC4" w:rsidRDefault="004B3AC4" w:rsidP="00937C99">
    <w:pPr>
      <w:pStyle w:val="Address-red"/>
    </w:pPr>
  </w:p>
  <w:p w14:paraId="45315B7E" w14:textId="77777777" w:rsidR="004B3AC4" w:rsidRDefault="004B3AC4" w:rsidP="003260C7">
    <w:pPr>
      <w:pStyle w:val="Address-gray"/>
      <w:jc w:val="center"/>
    </w:pPr>
    <w:r>
      <w:t>© 2020 Dobson DaVanzo &amp; Associates,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A1ACCE" w14:textId="77777777" w:rsidR="00C53ABC" w:rsidRDefault="00C53ABC" w:rsidP="00393FA2">
      <w:pPr>
        <w:spacing w:after="0" w:line="240" w:lineRule="auto"/>
      </w:pPr>
      <w:r>
        <w:separator/>
      </w:r>
    </w:p>
  </w:footnote>
  <w:footnote w:type="continuationSeparator" w:id="0">
    <w:p w14:paraId="5396F9DC" w14:textId="77777777" w:rsidR="00C53ABC" w:rsidRDefault="00C53ABC" w:rsidP="00393FA2">
      <w:pPr>
        <w:spacing w:after="0" w:line="240" w:lineRule="auto"/>
      </w:pPr>
      <w:r>
        <w:continuationSeparator/>
      </w:r>
    </w:p>
  </w:footnote>
  <w:footnote w:type="continuationNotice" w:id="1">
    <w:p w14:paraId="2578A0EB" w14:textId="77777777" w:rsidR="00C53ABC" w:rsidRDefault="00C53ABC">
      <w:pPr>
        <w:spacing w:after="0" w:line="240" w:lineRule="auto"/>
      </w:pPr>
    </w:p>
  </w:footnote>
  <w:footnote w:id="2">
    <w:p w14:paraId="557BEB23" w14:textId="77777777" w:rsidR="004B3AC4" w:rsidRDefault="004B3AC4">
      <w:pPr>
        <w:pStyle w:val="FootnoteText"/>
      </w:pPr>
      <w:r>
        <w:rPr>
          <w:rStyle w:val="FootnoteReference"/>
        </w:rPr>
        <w:footnoteRef/>
      </w:r>
      <w:r>
        <w:t xml:space="preserve"> </w:t>
      </w:r>
      <w:hyperlink w:history="1">
        <w:r w:rsidRPr="00395246">
          <w:rPr>
            <w:rStyle w:val="Hyperlink"/>
          </w:rPr>
          <w:t>https://www.cms.gov/files/document/covid-home-health-agencies.pdf</w:t>
        </w:r>
      </w:hyperlink>
      <w:r>
        <w:t xml:space="preserve"> </w:t>
      </w:r>
    </w:p>
  </w:footnote>
  <w:footnote w:id="3">
    <w:p w14:paraId="0DF87E27" w14:textId="77777777" w:rsidR="004B3AC4" w:rsidRDefault="004B3AC4">
      <w:pPr>
        <w:pStyle w:val="FootnoteText"/>
      </w:pPr>
      <w:r>
        <w:rPr>
          <w:rStyle w:val="FootnoteReference"/>
        </w:rPr>
        <w:footnoteRef/>
      </w:r>
      <w:r>
        <w:t xml:space="preserve"> </w:t>
      </w:r>
      <w:hyperlink w:history="1">
        <w:r>
          <w:rPr>
            <w:rStyle w:val="Hyperlink"/>
          </w:rPr>
          <w:t>https://www.congress.gov/115/plaws/publ123/PLAW-115publ123.pdf</w:t>
        </w:r>
      </w:hyperlink>
      <w:r>
        <w:t xml:space="preserve"> </w:t>
      </w:r>
    </w:p>
  </w:footnote>
  <w:footnote w:id="4">
    <w:p w14:paraId="17162E83" w14:textId="216BDE08" w:rsidR="004B3AC4" w:rsidRDefault="004B3AC4">
      <w:pPr>
        <w:pStyle w:val="FootnoteText"/>
      </w:pPr>
      <w:r>
        <w:rPr>
          <w:rStyle w:val="FootnoteReference"/>
        </w:rPr>
        <w:footnoteRef/>
      </w:r>
      <w:r>
        <w:t xml:space="preserve"> Within the context of this report, we use “30-day PDGM episode” and “case” interchangeably.  </w:t>
      </w:r>
    </w:p>
  </w:footnote>
  <w:footnote w:id="5">
    <w:p w14:paraId="110C48E1" w14:textId="6DAF7239" w:rsidR="004B3AC4" w:rsidRDefault="004B3AC4" w:rsidP="00C55E62">
      <w:pPr>
        <w:pStyle w:val="FootnoteText"/>
        <w:ind w:right="0"/>
      </w:pPr>
      <w:r>
        <w:rPr>
          <w:rStyle w:val="FootnoteReference"/>
        </w:rPr>
        <w:footnoteRef/>
      </w:r>
      <w:r>
        <w:t xml:space="preserve"> Claims data here are from the </w:t>
      </w:r>
      <w:r w:rsidR="004B18BB">
        <w:t xml:space="preserve">August </w:t>
      </w:r>
      <w:r>
        <w:t xml:space="preserve">2020 update and results adjusted with completion factors. After comparing multiple files with varying run-out, we concluded that </w:t>
      </w:r>
      <w:r w:rsidR="004B18BB">
        <w:t xml:space="preserve">June </w:t>
      </w:r>
      <w:r>
        <w:t xml:space="preserve">2020 is adequately complete for the purposes of this report. Completion factors were 1.015, 1.020, 1.036 and 1.095 to adjust observed payments </w:t>
      </w:r>
      <w:r w:rsidR="004B18BB">
        <w:t>March</w:t>
      </w:r>
      <w:r>
        <w:t>-</w:t>
      </w:r>
      <w:r w:rsidR="004B18BB">
        <w:t xml:space="preserve">June </w:t>
      </w:r>
      <w:r>
        <w:t xml:space="preserve">(respectively), based on investigation of claims run-out. </w:t>
      </w:r>
    </w:p>
  </w:footnote>
  <w:footnote w:id="6">
    <w:p w14:paraId="5A875ABA" w14:textId="1688CDE3" w:rsidR="00374572" w:rsidRDefault="00374572">
      <w:pPr>
        <w:pStyle w:val="FootnoteText"/>
      </w:pPr>
      <w:r>
        <w:rPr>
          <w:rStyle w:val="FootnoteReference"/>
        </w:rPr>
        <w:footnoteRef/>
      </w:r>
      <w:r>
        <w:t xml:space="preserve"> This adjustment is based on the CMS rate-setting files and other materials indicating that on average each 60-day case would convert to 1.76 30-day periods. However, we have found in preliminary data that this conversion rate is closer to 1.25. Assumptions about the conversion approach drive the difference so we took a relatively conservative approach to adjustment (assuming most 60-day cases converted to 2 30-day cases) here. This also allows us to show a range of </w:t>
      </w:r>
    </w:p>
  </w:footnote>
  <w:footnote w:id="7">
    <w:p w14:paraId="6B95097D" w14:textId="083FE5F2" w:rsidR="004B3AC4" w:rsidRDefault="004B3AC4">
      <w:pPr>
        <w:pStyle w:val="FootnoteText"/>
      </w:pPr>
      <w:r>
        <w:rPr>
          <w:rStyle w:val="FootnoteReference"/>
        </w:rPr>
        <w:footnoteRef/>
      </w:r>
      <w:r>
        <w:t xml:space="preserve"> Previously, we estimated a LUPA rate of 24.4% in 2020 using a method that benchmarked to 2019</w:t>
      </w:r>
      <w:r w:rsidR="002C4744">
        <w:t xml:space="preserve"> MedPAC</w:t>
      </w:r>
      <w:r>
        <w:t xml:space="preserve"> data</w:t>
      </w:r>
      <w:r w:rsidR="002C4744">
        <w:t>, but resulted in an overestimate</w:t>
      </w:r>
      <w:r>
        <w:t xml:space="preserve">. After subsequent investigation, we determined that the CCW claims LUPA indicator is not functioning properly and instead attempted to replicate the pricer output </w:t>
      </w:r>
      <w:r w:rsidR="002C4744">
        <w:t xml:space="preserve">LUPA determination </w:t>
      </w:r>
      <w:r>
        <w:t xml:space="preserve">by comparing claim visit counts to the PDGM case-mix group threshold. Additionally, we </w:t>
      </w:r>
      <w:r w:rsidR="002C4744">
        <w:t xml:space="preserve">considered  </w:t>
      </w:r>
      <w:r>
        <w:t xml:space="preserve">cases with zero visits that received a full case payment </w:t>
      </w:r>
      <w:r w:rsidR="002C4744">
        <w:t xml:space="preserve">as a full case and not a LUPA </w:t>
      </w:r>
      <w:r>
        <w:t xml:space="preserve">as we assume the data for these cases is not complete. As such, the lower estimate here of 14.4% January-June LUPA rate may be an underestimate of the actual LUPA rate once claims are fully adjudicated.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BFF732" w14:textId="77777777" w:rsidR="004B3AC4" w:rsidRDefault="004B3AC4" w:rsidP="00A3449E">
    <w:pPr>
      <w:pStyle w:val="Sectiontitle-second"/>
      <w:tabs>
        <w:tab w:val="center" w:pos="4680"/>
      </w:tabs>
      <w:spacing w:after="0"/>
    </w:pPr>
    <w:r>
      <w:rPr>
        <w:noProof/>
      </w:rPr>
      <w:drawing>
        <wp:inline distT="0" distB="0" distL="0" distR="0" wp14:anchorId="470FA706" wp14:editId="3E877DFA">
          <wp:extent cx="1792376" cy="2743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376" cy="2743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F791DE" w14:textId="77777777" w:rsidR="004B3AC4" w:rsidRPr="00937C99" w:rsidRDefault="004B3AC4" w:rsidP="00937C99">
    <w:pPr>
      <w:pStyle w:val="Header"/>
      <w:spacing w:before="240"/>
      <w:rPr>
        <w:i/>
      </w:rPr>
    </w:pPr>
    <w:r>
      <w:rPr>
        <w:i/>
      </w:rPr>
      <w:tab/>
    </w:r>
    <w:r>
      <w:rPr>
        <w:i/>
      </w:rPr>
      <w:tab/>
    </w:r>
  </w:p>
  <w:p w14:paraId="15A3E291" w14:textId="77777777" w:rsidR="004B3AC4" w:rsidRPr="00937C99" w:rsidRDefault="004B3AC4" w:rsidP="00937C99">
    <w:pPr>
      <w:pStyle w:val="Header"/>
      <w:rPr>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C46E33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5B302F"/>
    <w:multiLevelType w:val="hybridMultilevel"/>
    <w:tmpl w:val="8D3A6BB4"/>
    <w:lvl w:ilvl="0" w:tplc="0409001B">
      <w:start w:val="1"/>
      <w:numFmt w:val="lowerRoman"/>
      <w:lvlText w:val="%1."/>
      <w:lvlJc w:val="right"/>
      <w:pPr>
        <w:ind w:left="360" w:hanging="360"/>
      </w:pPr>
      <w:rPr>
        <w:i/>
        <w:i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59194E"/>
    <w:multiLevelType w:val="hybridMultilevel"/>
    <w:tmpl w:val="E7961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057A2E"/>
    <w:multiLevelType w:val="hybridMultilevel"/>
    <w:tmpl w:val="AF7827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14350"/>
    <w:multiLevelType w:val="hybridMultilevel"/>
    <w:tmpl w:val="35A8E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DA745D"/>
    <w:multiLevelType w:val="hybridMultilevel"/>
    <w:tmpl w:val="20F6E3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FF4502"/>
    <w:multiLevelType w:val="hybridMultilevel"/>
    <w:tmpl w:val="48F69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1B1FF2"/>
    <w:multiLevelType w:val="hybridMultilevel"/>
    <w:tmpl w:val="873A1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A80F59"/>
    <w:multiLevelType w:val="hybridMultilevel"/>
    <w:tmpl w:val="F4EEF1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8"/>
  </w:num>
  <w:num w:numId="4">
    <w:abstractNumId w:val="2"/>
  </w:num>
  <w:num w:numId="5">
    <w:abstractNumId w:val="6"/>
  </w:num>
  <w:num w:numId="6">
    <w:abstractNumId w:val="4"/>
  </w:num>
  <w:num w:numId="7">
    <w:abstractNumId w:val="7"/>
  </w:num>
  <w:num w:numId="8">
    <w:abstractNumId w:val="3"/>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3"/>
  <w:hideSpellingErrors/>
  <w:hideGrammaticalError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403"/>
    <w:rsid w:val="00004A3D"/>
    <w:rsid w:val="00007185"/>
    <w:rsid w:val="00020733"/>
    <w:rsid w:val="0003221C"/>
    <w:rsid w:val="00037AD7"/>
    <w:rsid w:val="00044EAD"/>
    <w:rsid w:val="0005249F"/>
    <w:rsid w:val="00053591"/>
    <w:rsid w:val="00053B5F"/>
    <w:rsid w:val="000544DE"/>
    <w:rsid w:val="00054F92"/>
    <w:rsid w:val="00055318"/>
    <w:rsid w:val="000566C6"/>
    <w:rsid w:val="00056987"/>
    <w:rsid w:val="00056D40"/>
    <w:rsid w:val="000579F3"/>
    <w:rsid w:val="00057FAF"/>
    <w:rsid w:val="0006043B"/>
    <w:rsid w:val="00067D91"/>
    <w:rsid w:val="00070EB7"/>
    <w:rsid w:val="00072DDC"/>
    <w:rsid w:val="00077DF5"/>
    <w:rsid w:val="00081AB2"/>
    <w:rsid w:val="000850A3"/>
    <w:rsid w:val="000877E4"/>
    <w:rsid w:val="00097FC5"/>
    <w:rsid w:val="000A3A41"/>
    <w:rsid w:val="000A4921"/>
    <w:rsid w:val="000B01EF"/>
    <w:rsid w:val="000B3396"/>
    <w:rsid w:val="000B439E"/>
    <w:rsid w:val="000B6C70"/>
    <w:rsid w:val="000B7FF4"/>
    <w:rsid w:val="000C4948"/>
    <w:rsid w:val="000C5C16"/>
    <w:rsid w:val="000C5EEC"/>
    <w:rsid w:val="000C6114"/>
    <w:rsid w:val="000C7103"/>
    <w:rsid w:val="000E14B8"/>
    <w:rsid w:val="000E3E33"/>
    <w:rsid w:val="000E49B0"/>
    <w:rsid w:val="000F27C9"/>
    <w:rsid w:val="000F5E85"/>
    <w:rsid w:val="000F6D40"/>
    <w:rsid w:val="00100A56"/>
    <w:rsid w:val="0010168E"/>
    <w:rsid w:val="0010308E"/>
    <w:rsid w:val="001064B3"/>
    <w:rsid w:val="00107E0A"/>
    <w:rsid w:val="001217A2"/>
    <w:rsid w:val="00134A88"/>
    <w:rsid w:val="001419A6"/>
    <w:rsid w:val="001456F1"/>
    <w:rsid w:val="00145A8E"/>
    <w:rsid w:val="00152211"/>
    <w:rsid w:val="00153FF2"/>
    <w:rsid w:val="001564AA"/>
    <w:rsid w:val="00157196"/>
    <w:rsid w:val="001571D9"/>
    <w:rsid w:val="00160424"/>
    <w:rsid w:val="00161F15"/>
    <w:rsid w:val="00162F5E"/>
    <w:rsid w:val="00164121"/>
    <w:rsid w:val="00171C7D"/>
    <w:rsid w:val="00176D8B"/>
    <w:rsid w:val="00181EFF"/>
    <w:rsid w:val="001857B9"/>
    <w:rsid w:val="00192DA2"/>
    <w:rsid w:val="0019699A"/>
    <w:rsid w:val="001A1907"/>
    <w:rsid w:val="001A58F1"/>
    <w:rsid w:val="001B0519"/>
    <w:rsid w:val="001B4C79"/>
    <w:rsid w:val="001B4F8A"/>
    <w:rsid w:val="001B500B"/>
    <w:rsid w:val="001B60E8"/>
    <w:rsid w:val="001B7EB8"/>
    <w:rsid w:val="001C2E7C"/>
    <w:rsid w:val="001C4ABE"/>
    <w:rsid w:val="001C74B2"/>
    <w:rsid w:val="001C7BCF"/>
    <w:rsid w:val="001D0A69"/>
    <w:rsid w:val="001E1B2E"/>
    <w:rsid w:val="001E27CE"/>
    <w:rsid w:val="001E55CE"/>
    <w:rsid w:val="001E6A8E"/>
    <w:rsid w:val="001F16BC"/>
    <w:rsid w:val="001F32DF"/>
    <w:rsid w:val="00204156"/>
    <w:rsid w:val="002046A8"/>
    <w:rsid w:val="00210677"/>
    <w:rsid w:val="00212E63"/>
    <w:rsid w:val="00213893"/>
    <w:rsid w:val="0022675C"/>
    <w:rsid w:val="00227B9B"/>
    <w:rsid w:val="002315C2"/>
    <w:rsid w:val="00231907"/>
    <w:rsid w:val="00232BB5"/>
    <w:rsid w:val="00233A6D"/>
    <w:rsid w:val="002355CA"/>
    <w:rsid w:val="00235C86"/>
    <w:rsid w:val="00241A37"/>
    <w:rsid w:val="00243AB4"/>
    <w:rsid w:val="0025342C"/>
    <w:rsid w:val="00255F01"/>
    <w:rsid w:val="002616CE"/>
    <w:rsid w:val="00266AF3"/>
    <w:rsid w:val="00267F48"/>
    <w:rsid w:val="002709CB"/>
    <w:rsid w:val="00274D93"/>
    <w:rsid w:val="0028403A"/>
    <w:rsid w:val="00286DDE"/>
    <w:rsid w:val="002A0215"/>
    <w:rsid w:val="002A606B"/>
    <w:rsid w:val="002A6D1A"/>
    <w:rsid w:val="002A78B7"/>
    <w:rsid w:val="002A7A1D"/>
    <w:rsid w:val="002B0A5B"/>
    <w:rsid w:val="002B56AB"/>
    <w:rsid w:val="002C43F6"/>
    <w:rsid w:val="002C4744"/>
    <w:rsid w:val="002D0FAE"/>
    <w:rsid w:val="002D416C"/>
    <w:rsid w:val="002D5673"/>
    <w:rsid w:val="002D5ED6"/>
    <w:rsid w:val="002E0E1E"/>
    <w:rsid w:val="002E6D1D"/>
    <w:rsid w:val="003008CB"/>
    <w:rsid w:val="003174CE"/>
    <w:rsid w:val="00323B50"/>
    <w:rsid w:val="00324915"/>
    <w:rsid w:val="00324B45"/>
    <w:rsid w:val="00324BC3"/>
    <w:rsid w:val="003260C7"/>
    <w:rsid w:val="003311D2"/>
    <w:rsid w:val="003354F8"/>
    <w:rsid w:val="00343DAE"/>
    <w:rsid w:val="00353696"/>
    <w:rsid w:val="003567F1"/>
    <w:rsid w:val="00357150"/>
    <w:rsid w:val="00357873"/>
    <w:rsid w:val="00362EEB"/>
    <w:rsid w:val="00365BFA"/>
    <w:rsid w:val="00373A50"/>
    <w:rsid w:val="00374572"/>
    <w:rsid w:val="00380000"/>
    <w:rsid w:val="00383A08"/>
    <w:rsid w:val="00385172"/>
    <w:rsid w:val="00385453"/>
    <w:rsid w:val="00393FA2"/>
    <w:rsid w:val="003A0054"/>
    <w:rsid w:val="003A1572"/>
    <w:rsid w:val="003A1CC2"/>
    <w:rsid w:val="003A488E"/>
    <w:rsid w:val="003A6903"/>
    <w:rsid w:val="003A6B46"/>
    <w:rsid w:val="003B1A3C"/>
    <w:rsid w:val="003B1EF7"/>
    <w:rsid w:val="003C3BEA"/>
    <w:rsid w:val="003C3E65"/>
    <w:rsid w:val="003C7113"/>
    <w:rsid w:val="003D1A1C"/>
    <w:rsid w:val="003D3D87"/>
    <w:rsid w:val="003D684A"/>
    <w:rsid w:val="003E1875"/>
    <w:rsid w:val="003E25BB"/>
    <w:rsid w:val="003E2CC3"/>
    <w:rsid w:val="003E4A6A"/>
    <w:rsid w:val="003E548D"/>
    <w:rsid w:val="003E5E3E"/>
    <w:rsid w:val="003F0FDA"/>
    <w:rsid w:val="003F1999"/>
    <w:rsid w:val="003F2AB8"/>
    <w:rsid w:val="003F2DD2"/>
    <w:rsid w:val="003F6E12"/>
    <w:rsid w:val="0040158A"/>
    <w:rsid w:val="0040185A"/>
    <w:rsid w:val="004162A4"/>
    <w:rsid w:val="00422554"/>
    <w:rsid w:val="0042412C"/>
    <w:rsid w:val="00442BBA"/>
    <w:rsid w:val="004438FB"/>
    <w:rsid w:val="00443981"/>
    <w:rsid w:val="00445D47"/>
    <w:rsid w:val="00447744"/>
    <w:rsid w:val="004550D6"/>
    <w:rsid w:val="00456B71"/>
    <w:rsid w:val="00457AAE"/>
    <w:rsid w:val="00457C04"/>
    <w:rsid w:val="0046319F"/>
    <w:rsid w:val="00465EDB"/>
    <w:rsid w:val="004704FA"/>
    <w:rsid w:val="0047783F"/>
    <w:rsid w:val="00477E62"/>
    <w:rsid w:val="00491B84"/>
    <w:rsid w:val="004921A2"/>
    <w:rsid w:val="00493616"/>
    <w:rsid w:val="00493C91"/>
    <w:rsid w:val="004A2DF2"/>
    <w:rsid w:val="004A33F9"/>
    <w:rsid w:val="004A34EA"/>
    <w:rsid w:val="004A54B6"/>
    <w:rsid w:val="004B18BB"/>
    <w:rsid w:val="004B2EFA"/>
    <w:rsid w:val="004B3AC4"/>
    <w:rsid w:val="004B4E53"/>
    <w:rsid w:val="004C247F"/>
    <w:rsid w:val="004C48AA"/>
    <w:rsid w:val="004D0C48"/>
    <w:rsid w:val="004D1E80"/>
    <w:rsid w:val="004D2C81"/>
    <w:rsid w:val="004D5C9E"/>
    <w:rsid w:val="004F6947"/>
    <w:rsid w:val="0051322A"/>
    <w:rsid w:val="00513790"/>
    <w:rsid w:val="00516433"/>
    <w:rsid w:val="005203C1"/>
    <w:rsid w:val="00521B00"/>
    <w:rsid w:val="00542EB8"/>
    <w:rsid w:val="00544AF8"/>
    <w:rsid w:val="00546A34"/>
    <w:rsid w:val="00547B8D"/>
    <w:rsid w:val="00553349"/>
    <w:rsid w:val="00560F04"/>
    <w:rsid w:val="00564C4E"/>
    <w:rsid w:val="0056664A"/>
    <w:rsid w:val="00580148"/>
    <w:rsid w:val="00580F04"/>
    <w:rsid w:val="0059117B"/>
    <w:rsid w:val="00593C17"/>
    <w:rsid w:val="005A0E73"/>
    <w:rsid w:val="005A5A89"/>
    <w:rsid w:val="005B1B72"/>
    <w:rsid w:val="005B1F5B"/>
    <w:rsid w:val="005B2F19"/>
    <w:rsid w:val="005B4E9C"/>
    <w:rsid w:val="005B599C"/>
    <w:rsid w:val="005C07BE"/>
    <w:rsid w:val="005C2D69"/>
    <w:rsid w:val="005C3455"/>
    <w:rsid w:val="005D5A61"/>
    <w:rsid w:val="005D5FDB"/>
    <w:rsid w:val="005E00D1"/>
    <w:rsid w:val="005F1B74"/>
    <w:rsid w:val="005F2800"/>
    <w:rsid w:val="0060355B"/>
    <w:rsid w:val="006131B8"/>
    <w:rsid w:val="00620172"/>
    <w:rsid w:val="006349CF"/>
    <w:rsid w:val="00642825"/>
    <w:rsid w:val="00642EA5"/>
    <w:rsid w:val="0065474D"/>
    <w:rsid w:val="00662478"/>
    <w:rsid w:val="00666E69"/>
    <w:rsid w:val="00685497"/>
    <w:rsid w:val="0068598E"/>
    <w:rsid w:val="006866DD"/>
    <w:rsid w:val="006A3C23"/>
    <w:rsid w:val="006A456E"/>
    <w:rsid w:val="006B16A5"/>
    <w:rsid w:val="006B2DF0"/>
    <w:rsid w:val="006B4624"/>
    <w:rsid w:val="006B7C5E"/>
    <w:rsid w:val="006C3708"/>
    <w:rsid w:val="006E383D"/>
    <w:rsid w:val="006E3FAA"/>
    <w:rsid w:val="006E604E"/>
    <w:rsid w:val="006E69C2"/>
    <w:rsid w:val="006F21BC"/>
    <w:rsid w:val="006F2403"/>
    <w:rsid w:val="00706F38"/>
    <w:rsid w:val="00712858"/>
    <w:rsid w:val="00712EBE"/>
    <w:rsid w:val="00716F03"/>
    <w:rsid w:val="00721472"/>
    <w:rsid w:val="007263D6"/>
    <w:rsid w:val="007373D6"/>
    <w:rsid w:val="0074039F"/>
    <w:rsid w:val="00740789"/>
    <w:rsid w:val="00746233"/>
    <w:rsid w:val="007462E5"/>
    <w:rsid w:val="00751778"/>
    <w:rsid w:val="0075214B"/>
    <w:rsid w:val="00752A3E"/>
    <w:rsid w:val="00754985"/>
    <w:rsid w:val="00765FE9"/>
    <w:rsid w:val="00766003"/>
    <w:rsid w:val="00772C89"/>
    <w:rsid w:val="00776AD4"/>
    <w:rsid w:val="007822B6"/>
    <w:rsid w:val="00783900"/>
    <w:rsid w:val="00783EA9"/>
    <w:rsid w:val="00786377"/>
    <w:rsid w:val="00792416"/>
    <w:rsid w:val="007966DB"/>
    <w:rsid w:val="007A2B78"/>
    <w:rsid w:val="007A4D24"/>
    <w:rsid w:val="007A5366"/>
    <w:rsid w:val="007A63B6"/>
    <w:rsid w:val="007A6C6F"/>
    <w:rsid w:val="007B2AAC"/>
    <w:rsid w:val="007B3367"/>
    <w:rsid w:val="007B3768"/>
    <w:rsid w:val="007B7C4F"/>
    <w:rsid w:val="007C3BAD"/>
    <w:rsid w:val="007C68D3"/>
    <w:rsid w:val="007C6F1C"/>
    <w:rsid w:val="007D0401"/>
    <w:rsid w:val="007D20F0"/>
    <w:rsid w:val="007D29B4"/>
    <w:rsid w:val="007D4EE7"/>
    <w:rsid w:val="007E22C2"/>
    <w:rsid w:val="007E553B"/>
    <w:rsid w:val="007E5BAF"/>
    <w:rsid w:val="007E67CE"/>
    <w:rsid w:val="007E6C91"/>
    <w:rsid w:val="007F484A"/>
    <w:rsid w:val="007F66B9"/>
    <w:rsid w:val="00806F1F"/>
    <w:rsid w:val="00811FDF"/>
    <w:rsid w:val="00817229"/>
    <w:rsid w:val="008173CE"/>
    <w:rsid w:val="00817461"/>
    <w:rsid w:val="00826D93"/>
    <w:rsid w:val="00830CD8"/>
    <w:rsid w:val="008379DE"/>
    <w:rsid w:val="00837DD4"/>
    <w:rsid w:val="00847F45"/>
    <w:rsid w:val="00850056"/>
    <w:rsid w:val="00851B01"/>
    <w:rsid w:val="00855526"/>
    <w:rsid w:val="0086027A"/>
    <w:rsid w:val="00860B5C"/>
    <w:rsid w:val="00860D42"/>
    <w:rsid w:val="00867383"/>
    <w:rsid w:val="00875784"/>
    <w:rsid w:val="008769B1"/>
    <w:rsid w:val="008904B2"/>
    <w:rsid w:val="008907E7"/>
    <w:rsid w:val="00892AC2"/>
    <w:rsid w:val="008959F3"/>
    <w:rsid w:val="008A41C0"/>
    <w:rsid w:val="008B0196"/>
    <w:rsid w:val="008B064A"/>
    <w:rsid w:val="008B2BEC"/>
    <w:rsid w:val="008B381C"/>
    <w:rsid w:val="008B3F91"/>
    <w:rsid w:val="008D1678"/>
    <w:rsid w:val="008D3B93"/>
    <w:rsid w:val="008E12FF"/>
    <w:rsid w:val="008E2BBF"/>
    <w:rsid w:val="008F31C9"/>
    <w:rsid w:val="008F4C61"/>
    <w:rsid w:val="008F599B"/>
    <w:rsid w:val="008F5A27"/>
    <w:rsid w:val="00901FCC"/>
    <w:rsid w:val="00903134"/>
    <w:rsid w:val="009100C0"/>
    <w:rsid w:val="00915D68"/>
    <w:rsid w:val="0092783B"/>
    <w:rsid w:val="0093284D"/>
    <w:rsid w:val="00933B76"/>
    <w:rsid w:val="009359BE"/>
    <w:rsid w:val="009368E5"/>
    <w:rsid w:val="009378ED"/>
    <w:rsid w:val="00937C99"/>
    <w:rsid w:val="0094275E"/>
    <w:rsid w:val="009446E4"/>
    <w:rsid w:val="00947E24"/>
    <w:rsid w:val="00952E8E"/>
    <w:rsid w:val="00957A17"/>
    <w:rsid w:val="00960B45"/>
    <w:rsid w:val="00961B74"/>
    <w:rsid w:val="009668D8"/>
    <w:rsid w:val="00982A81"/>
    <w:rsid w:val="00983A68"/>
    <w:rsid w:val="00987A65"/>
    <w:rsid w:val="0099378B"/>
    <w:rsid w:val="009938F6"/>
    <w:rsid w:val="0099392C"/>
    <w:rsid w:val="009A18AA"/>
    <w:rsid w:val="009A1C90"/>
    <w:rsid w:val="009B2B5F"/>
    <w:rsid w:val="009B709D"/>
    <w:rsid w:val="009B76CE"/>
    <w:rsid w:val="009D7F30"/>
    <w:rsid w:val="009E14F1"/>
    <w:rsid w:val="009E17A6"/>
    <w:rsid w:val="009E512B"/>
    <w:rsid w:val="009F0638"/>
    <w:rsid w:val="009F07BD"/>
    <w:rsid w:val="009F318A"/>
    <w:rsid w:val="00A019C4"/>
    <w:rsid w:val="00A10175"/>
    <w:rsid w:val="00A12D70"/>
    <w:rsid w:val="00A13480"/>
    <w:rsid w:val="00A13C42"/>
    <w:rsid w:val="00A15C2D"/>
    <w:rsid w:val="00A21FC9"/>
    <w:rsid w:val="00A255D9"/>
    <w:rsid w:val="00A26989"/>
    <w:rsid w:val="00A3270E"/>
    <w:rsid w:val="00A3449E"/>
    <w:rsid w:val="00A3554D"/>
    <w:rsid w:val="00A36887"/>
    <w:rsid w:val="00A45ADF"/>
    <w:rsid w:val="00A50A17"/>
    <w:rsid w:val="00A51C22"/>
    <w:rsid w:val="00A53A2E"/>
    <w:rsid w:val="00A55932"/>
    <w:rsid w:val="00A62C3C"/>
    <w:rsid w:val="00A64A52"/>
    <w:rsid w:val="00A656FC"/>
    <w:rsid w:val="00A7283C"/>
    <w:rsid w:val="00A73E0E"/>
    <w:rsid w:val="00A9750D"/>
    <w:rsid w:val="00AA3736"/>
    <w:rsid w:val="00AA4950"/>
    <w:rsid w:val="00AA4CD8"/>
    <w:rsid w:val="00AB12DB"/>
    <w:rsid w:val="00AB2883"/>
    <w:rsid w:val="00AB2D37"/>
    <w:rsid w:val="00AB4DAF"/>
    <w:rsid w:val="00AB4E62"/>
    <w:rsid w:val="00AB582A"/>
    <w:rsid w:val="00AB5977"/>
    <w:rsid w:val="00AC1E53"/>
    <w:rsid w:val="00AD007B"/>
    <w:rsid w:val="00AD2758"/>
    <w:rsid w:val="00AD45D9"/>
    <w:rsid w:val="00AD5388"/>
    <w:rsid w:val="00AD6B5A"/>
    <w:rsid w:val="00AD7798"/>
    <w:rsid w:val="00AE091F"/>
    <w:rsid w:val="00AE0AE8"/>
    <w:rsid w:val="00AE69D3"/>
    <w:rsid w:val="00AF08B6"/>
    <w:rsid w:val="00AF327C"/>
    <w:rsid w:val="00AF5A56"/>
    <w:rsid w:val="00AF5A9F"/>
    <w:rsid w:val="00B0728D"/>
    <w:rsid w:val="00B1081C"/>
    <w:rsid w:val="00B1251E"/>
    <w:rsid w:val="00B1273E"/>
    <w:rsid w:val="00B135D7"/>
    <w:rsid w:val="00B13873"/>
    <w:rsid w:val="00B215E9"/>
    <w:rsid w:val="00B25D64"/>
    <w:rsid w:val="00B26D92"/>
    <w:rsid w:val="00B2763E"/>
    <w:rsid w:val="00B27D52"/>
    <w:rsid w:val="00B353DD"/>
    <w:rsid w:val="00B37688"/>
    <w:rsid w:val="00B42140"/>
    <w:rsid w:val="00B43540"/>
    <w:rsid w:val="00B51C93"/>
    <w:rsid w:val="00B54B60"/>
    <w:rsid w:val="00B64594"/>
    <w:rsid w:val="00B7123D"/>
    <w:rsid w:val="00B72168"/>
    <w:rsid w:val="00B764CB"/>
    <w:rsid w:val="00B77245"/>
    <w:rsid w:val="00B82876"/>
    <w:rsid w:val="00B873B3"/>
    <w:rsid w:val="00B912F8"/>
    <w:rsid w:val="00B92EA7"/>
    <w:rsid w:val="00B9775B"/>
    <w:rsid w:val="00B97974"/>
    <w:rsid w:val="00BA1CC8"/>
    <w:rsid w:val="00BA6595"/>
    <w:rsid w:val="00BB0634"/>
    <w:rsid w:val="00BB187D"/>
    <w:rsid w:val="00BB488A"/>
    <w:rsid w:val="00BB74D4"/>
    <w:rsid w:val="00BC2FD9"/>
    <w:rsid w:val="00BC327F"/>
    <w:rsid w:val="00BD4E9E"/>
    <w:rsid w:val="00BE2F23"/>
    <w:rsid w:val="00BF6632"/>
    <w:rsid w:val="00C00292"/>
    <w:rsid w:val="00C06E3E"/>
    <w:rsid w:val="00C15961"/>
    <w:rsid w:val="00C2074E"/>
    <w:rsid w:val="00C20CB5"/>
    <w:rsid w:val="00C22BD9"/>
    <w:rsid w:val="00C30641"/>
    <w:rsid w:val="00C30EE6"/>
    <w:rsid w:val="00C33243"/>
    <w:rsid w:val="00C356AD"/>
    <w:rsid w:val="00C36087"/>
    <w:rsid w:val="00C4055A"/>
    <w:rsid w:val="00C44CEC"/>
    <w:rsid w:val="00C4531A"/>
    <w:rsid w:val="00C50A1E"/>
    <w:rsid w:val="00C51245"/>
    <w:rsid w:val="00C52664"/>
    <w:rsid w:val="00C53ABC"/>
    <w:rsid w:val="00C558DE"/>
    <w:rsid w:val="00C55E62"/>
    <w:rsid w:val="00C57CAB"/>
    <w:rsid w:val="00C606C4"/>
    <w:rsid w:val="00C6698C"/>
    <w:rsid w:val="00C673D6"/>
    <w:rsid w:val="00C70017"/>
    <w:rsid w:val="00C731A1"/>
    <w:rsid w:val="00C736D6"/>
    <w:rsid w:val="00C76CA1"/>
    <w:rsid w:val="00C819F5"/>
    <w:rsid w:val="00C8403C"/>
    <w:rsid w:val="00C84455"/>
    <w:rsid w:val="00C87F31"/>
    <w:rsid w:val="00C913C5"/>
    <w:rsid w:val="00C93919"/>
    <w:rsid w:val="00CA1698"/>
    <w:rsid w:val="00CA6971"/>
    <w:rsid w:val="00CB01FB"/>
    <w:rsid w:val="00CB4D64"/>
    <w:rsid w:val="00CB7CBA"/>
    <w:rsid w:val="00CC1957"/>
    <w:rsid w:val="00CC3BCB"/>
    <w:rsid w:val="00CC48B1"/>
    <w:rsid w:val="00CD3C61"/>
    <w:rsid w:val="00CD44F6"/>
    <w:rsid w:val="00CE669F"/>
    <w:rsid w:val="00CF2089"/>
    <w:rsid w:val="00CF2E04"/>
    <w:rsid w:val="00CF5010"/>
    <w:rsid w:val="00D07CCB"/>
    <w:rsid w:val="00D23459"/>
    <w:rsid w:val="00D324AF"/>
    <w:rsid w:val="00D334F5"/>
    <w:rsid w:val="00D34F20"/>
    <w:rsid w:val="00D36CDA"/>
    <w:rsid w:val="00D41327"/>
    <w:rsid w:val="00D51DE7"/>
    <w:rsid w:val="00D563E1"/>
    <w:rsid w:val="00D72BD1"/>
    <w:rsid w:val="00D735DB"/>
    <w:rsid w:val="00D74668"/>
    <w:rsid w:val="00D758E8"/>
    <w:rsid w:val="00D86583"/>
    <w:rsid w:val="00D877FE"/>
    <w:rsid w:val="00DA543E"/>
    <w:rsid w:val="00DB2370"/>
    <w:rsid w:val="00DB63C7"/>
    <w:rsid w:val="00DB7DFC"/>
    <w:rsid w:val="00DC567B"/>
    <w:rsid w:val="00DC6AB8"/>
    <w:rsid w:val="00DD1885"/>
    <w:rsid w:val="00DD51BF"/>
    <w:rsid w:val="00DD5F9E"/>
    <w:rsid w:val="00DE60F3"/>
    <w:rsid w:val="00DE62C2"/>
    <w:rsid w:val="00DE6475"/>
    <w:rsid w:val="00DE7E90"/>
    <w:rsid w:val="00DF24D3"/>
    <w:rsid w:val="00DF7825"/>
    <w:rsid w:val="00E05E52"/>
    <w:rsid w:val="00E10865"/>
    <w:rsid w:val="00E11D6D"/>
    <w:rsid w:val="00E241FD"/>
    <w:rsid w:val="00E26AE0"/>
    <w:rsid w:val="00E35B9F"/>
    <w:rsid w:val="00E379A1"/>
    <w:rsid w:val="00E42829"/>
    <w:rsid w:val="00E4461A"/>
    <w:rsid w:val="00E4512F"/>
    <w:rsid w:val="00E548E0"/>
    <w:rsid w:val="00E5497C"/>
    <w:rsid w:val="00E61A5C"/>
    <w:rsid w:val="00E6370D"/>
    <w:rsid w:val="00E6548C"/>
    <w:rsid w:val="00E663BA"/>
    <w:rsid w:val="00E71B20"/>
    <w:rsid w:val="00E80A83"/>
    <w:rsid w:val="00E80B6A"/>
    <w:rsid w:val="00E83610"/>
    <w:rsid w:val="00E84434"/>
    <w:rsid w:val="00E874E8"/>
    <w:rsid w:val="00E910CE"/>
    <w:rsid w:val="00E93B4D"/>
    <w:rsid w:val="00E960BE"/>
    <w:rsid w:val="00EA61DC"/>
    <w:rsid w:val="00EB36C0"/>
    <w:rsid w:val="00EB6EB7"/>
    <w:rsid w:val="00EC1498"/>
    <w:rsid w:val="00EC1A5C"/>
    <w:rsid w:val="00EC5A40"/>
    <w:rsid w:val="00ED3081"/>
    <w:rsid w:val="00ED536F"/>
    <w:rsid w:val="00EF11B1"/>
    <w:rsid w:val="00EF1EA3"/>
    <w:rsid w:val="00EF1FC8"/>
    <w:rsid w:val="00EF6844"/>
    <w:rsid w:val="00F04361"/>
    <w:rsid w:val="00F13401"/>
    <w:rsid w:val="00F13FC7"/>
    <w:rsid w:val="00F14426"/>
    <w:rsid w:val="00F14601"/>
    <w:rsid w:val="00F22B3C"/>
    <w:rsid w:val="00F27B84"/>
    <w:rsid w:val="00F30DCC"/>
    <w:rsid w:val="00F311F8"/>
    <w:rsid w:val="00F37913"/>
    <w:rsid w:val="00F6221A"/>
    <w:rsid w:val="00F728F5"/>
    <w:rsid w:val="00F74A35"/>
    <w:rsid w:val="00F76AD8"/>
    <w:rsid w:val="00F773FD"/>
    <w:rsid w:val="00F87085"/>
    <w:rsid w:val="00F9056F"/>
    <w:rsid w:val="00F9441C"/>
    <w:rsid w:val="00F95AFF"/>
    <w:rsid w:val="00F96220"/>
    <w:rsid w:val="00FA0E2F"/>
    <w:rsid w:val="00FA2B03"/>
    <w:rsid w:val="00FB25B1"/>
    <w:rsid w:val="00FB379B"/>
    <w:rsid w:val="00FB779E"/>
    <w:rsid w:val="00FB7979"/>
    <w:rsid w:val="00FC0753"/>
    <w:rsid w:val="00FC451E"/>
    <w:rsid w:val="00FD1A9D"/>
    <w:rsid w:val="00FD7257"/>
    <w:rsid w:val="00FF6091"/>
    <w:rsid w:val="00FF79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521419"/>
  <w15:docId w15:val="{6E9FCF9F-7CBC-46D0-A8CB-1A00A1227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698"/>
    <w:pPr>
      <w:suppressAutoHyphens/>
      <w:ind w:right="1440"/>
    </w:pPr>
    <w:rPr>
      <w:spacing w:val="-2"/>
      <w:kern w:val="22"/>
    </w:rPr>
  </w:style>
  <w:style w:type="paragraph" w:styleId="Heading1">
    <w:name w:val="heading 1"/>
    <w:basedOn w:val="Normal"/>
    <w:next w:val="Normal"/>
    <w:link w:val="Heading1Char"/>
    <w:uiPriority w:val="9"/>
    <w:qFormat/>
    <w:rsid w:val="00F76AD8"/>
    <w:pPr>
      <w:framePr w:hSpace="180" w:wrap="around" w:vAnchor="page" w:hAnchor="margin" w:y="1726"/>
      <w:tabs>
        <w:tab w:val="left" w:pos="7147"/>
        <w:tab w:val="right" w:pos="9360"/>
      </w:tabs>
      <w:suppressAutoHyphens w:val="0"/>
      <w:spacing w:before="240" w:after="2400"/>
      <w:ind w:right="90"/>
      <w:outlineLvl w:val="0"/>
    </w:pPr>
    <w:rPr>
      <w:rFonts w:asciiTheme="majorHAnsi" w:hAnsiTheme="majorHAnsi"/>
      <w:i/>
      <w:color w:val="000066"/>
      <w:spacing w:val="0"/>
      <w:kern w:val="0"/>
      <w:sz w:val="96"/>
      <w:szCs w:val="96"/>
    </w:rPr>
  </w:style>
  <w:style w:type="paragraph" w:styleId="Heading2">
    <w:name w:val="heading 2"/>
    <w:basedOn w:val="Normal"/>
    <w:next w:val="Normal"/>
    <w:link w:val="Heading2Char"/>
    <w:uiPriority w:val="9"/>
    <w:unhideWhenUsed/>
    <w:qFormat/>
    <w:rsid w:val="00937C99"/>
    <w:pPr>
      <w:spacing w:before="300" w:after="0"/>
      <w:outlineLvl w:val="1"/>
    </w:pPr>
    <w:rPr>
      <w:rFonts w:asciiTheme="majorHAnsi" w:hAnsiTheme="majorHAnsi"/>
      <w:b/>
      <w:color w:val="000066"/>
      <w:kern w:val="16"/>
      <w:sz w:val="24"/>
      <w:szCs w:val="24"/>
    </w:rPr>
  </w:style>
  <w:style w:type="paragraph" w:styleId="Heading3">
    <w:name w:val="heading 3"/>
    <w:basedOn w:val="Normal"/>
    <w:next w:val="Normal"/>
    <w:link w:val="Heading3Char"/>
    <w:uiPriority w:val="9"/>
    <w:unhideWhenUsed/>
    <w:qFormat/>
    <w:rsid w:val="00D563E1"/>
    <w:pPr>
      <w:spacing w:before="300" w:after="0"/>
      <w:ind w:left="240"/>
      <w:outlineLvl w:val="2"/>
    </w:pPr>
    <w:rPr>
      <w:rFonts w:asciiTheme="majorHAnsi" w:eastAsia="Times New Roman" w:hAnsiTheme="majorHAnsi"/>
      <w:b/>
      <w:color w:val="000066"/>
      <w:spacing w:val="-1"/>
      <w:kern w:val="16"/>
      <w:szCs w:val="24"/>
    </w:rPr>
  </w:style>
  <w:style w:type="paragraph" w:styleId="Heading4">
    <w:name w:val="heading 4"/>
    <w:basedOn w:val="Heading3"/>
    <w:next w:val="Normal"/>
    <w:link w:val="Heading4Char"/>
    <w:uiPriority w:val="9"/>
    <w:unhideWhenUsed/>
    <w:qFormat/>
    <w:rsid w:val="00F6221A"/>
    <w:pPr>
      <w:ind w:left="360"/>
      <w:outlineLvl w:val="3"/>
    </w:pPr>
    <w:rPr>
      <w:bCs/>
      <w:caps/>
      <w:color w:val="6E953B" w:themeColor="accent1"/>
      <w:spacing w:val="0"/>
    </w:rPr>
  </w:style>
  <w:style w:type="paragraph" w:styleId="Heading5">
    <w:name w:val="heading 5"/>
    <w:basedOn w:val="Heading4"/>
    <w:next w:val="Normal"/>
    <w:link w:val="Heading5Char"/>
    <w:uiPriority w:val="9"/>
    <w:unhideWhenUsed/>
    <w:qFormat/>
    <w:rsid w:val="00D563E1"/>
    <w:pPr>
      <w:ind w:left="0" w:firstLine="720"/>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21A"/>
    <w:rPr>
      <w:rFonts w:asciiTheme="majorHAnsi" w:hAnsiTheme="majorHAnsi"/>
      <w:i/>
      <w:color w:val="000066"/>
      <w:sz w:val="96"/>
      <w:szCs w:val="96"/>
    </w:rPr>
  </w:style>
  <w:style w:type="character" w:customStyle="1" w:styleId="Heading2Char">
    <w:name w:val="Heading 2 Char"/>
    <w:basedOn w:val="DefaultParagraphFont"/>
    <w:link w:val="Heading2"/>
    <w:uiPriority w:val="9"/>
    <w:rsid w:val="00937C99"/>
    <w:rPr>
      <w:rFonts w:asciiTheme="majorHAnsi" w:hAnsiTheme="majorHAnsi"/>
      <w:b/>
      <w:color w:val="000066"/>
      <w:spacing w:val="-2"/>
      <w:kern w:val="16"/>
      <w:sz w:val="24"/>
      <w:szCs w:val="24"/>
    </w:rPr>
  </w:style>
  <w:style w:type="character" w:customStyle="1" w:styleId="Heading3Char">
    <w:name w:val="Heading 3 Char"/>
    <w:basedOn w:val="DefaultParagraphFont"/>
    <w:link w:val="Heading3"/>
    <w:uiPriority w:val="9"/>
    <w:rsid w:val="00D563E1"/>
    <w:rPr>
      <w:rFonts w:asciiTheme="majorHAnsi" w:eastAsia="Times New Roman" w:hAnsiTheme="majorHAnsi"/>
      <w:b/>
      <w:color w:val="000066"/>
      <w:spacing w:val="-1"/>
      <w:kern w:val="16"/>
      <w:szCs w:val="24"/>
    </w:rPr>
  </w:style>
  <w:style w:type="character" w:customStyle="1" w:styleId="Heading4Char">
    <w:name w:val="Heading 4 Char"/>
    <w:basedOn w:val="DefaultParagraphFont"/>
    <w:link w:val="Heading4"/>
    <w:uiPriority w:val="9"/>
    <w:rsid w:val="00F6221A"/>
    <w:rPr>
      <w:rFonts w:asciiTheme="majorHAnsi" w:hAnsiTheme="majorHAnsi"/>
      <w:b/>
      <w:bCs/>
      <w:color w:val="6E953B" w:themeColor="accent1"/>
      <w:kern w:val="22"/>
    </w:rPr>
  </w:style>
  <w:style w:type="character" w:customStyle="1" w:styleId="Heading5Char">
    <w:name w:val="Heading 5 Char"/>
    <w:basedOn w:val="DefaultParagraphFont"/>
    <w:link w:val="Heading5"/>
    <w:uiPriority w:val="9"/>
    <w:rsid w:val="00D563E1"/>
    <w:rPr>
      <w:rFonts w:asciiTheme="majorHAnsi" w:eastAsia="Times New Roman" w:hAnsiTheme="majorHAnsi"/>
      <w:b/>
      <w:bCs/>
      <w:i/>
      <w:caps/>
      <w:color w:val="6E953B" w:themeColor="accent1"/>
      <w:kern w:val="16"/>
      <w:szCs w:val="24"/>
    </w:rPr>
  </w:style>
  <w:style w:type="paragraph" w:styleId="BalloonText">
    <w:name w:val="Balloon Text"/>
    <w:basedOn w:val="Normal"/>
    <w:link w:val="BalloonTextChar"/>
    <w:uiPriority w:val="99"/>
    <w:semiHidden/>
    <w:unhideWhenUsed/>
    <w:rsid w:val="00F62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221A"/>
    <w:rPr>
      <w:rFonts w:ascii="Tahoma" w:hAnsi="Tahoma" w:cs="Tahoma"/>
      <w:spacing w:val="-2"/>
      <w:kern w:val="22"/>
      <w:sz w:val="16"/>
      <w:szCs w:val="16"/>
    </w:rPr>
  </w:style>
  <w:style w:type="table" w:styleId="TableGrid">
    <w:name w:val="Table Grid"/>
    <w:basedOn w:val="TableNormal"/>
    <w:uiPriority w:val="59"/>
    <w:rsid w:val="00F6221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76AD8"/>
    <w:pPr>
      <w:tabs>
        <w:tab w:val="left" w:pos="7147"/>
        <w:tab w:val="right" w:pos="9360"/>
      </w:tabs>
      <w:suppressAutoHyphens w:val="0"/>
      <w:ind w:left="720" w:right="0"/>
      <w:contextualSpacing/>
    </w:pPr>
    <w:rPr>
      <w:spacing w:val="0"/>
      <w:kern w:val="0"/>
    </w:rPr>
  </w:style>
  <w:style w:type="character" w:styleId="PlaceholderText">
    <w:name w:val="Placeholder Text"/>
    <w:basedOn w:val="DefaultParagraphFont"/>
    <w:uiPriority w:val="99"/>
    <w:semiHidden/>
    <w:rsid w:val="00F6221A"/>
    <w:rPr>
      <w:color w:val="808080"/>
    </w:rPr>
  </w:style>
  <w:style w:type="paragraph" w:customStyle="1" w:styleId="Address-gray">
    <w:name w:val="Address-gray"/>
    <w:rsid w:val="00F6221A"/>
    <w:pPr>
      <w:spacing w:before="120" w:after="0" w:line="220" w:lineRule="exact"/>
    </w:pPr>
    <w:rPr>
      <w:rFonts w:asciiTheme="majorHAnsi" w:hAnsiTheme="majorHAnsi"/>
      <w:color w:val="595959" w:themeColor="text1" w:themeTint="A6"/>
      <w:spacing w:val="6"/>
      <w:kern w:val="16"/>
      <w:sz w:val="18"/>
      <w:szCs w:val="18"/>
    </w:rPr>
  </w:style>
  <w:style w:type="paragraph" w:styleId="Header">
    <w:name w:val="header"/>
    <w:basedOn w:val="Normal"/>
    <w:link w:val="HeaderChar"/>
    <w:uiPriority w:val="99"/>
    <w:unhideWhenUsed/>
    <w:rsid w:val="00F62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21A"/>
    <w:rPr>
      <w:spacing w:val="-2"/>
      <w:kern w:val="22"/>
    </w:rPr>
  </w:style>
  <w:style w:type="paragraph" w:styleId="Footer">
    <w:name w:val="footer"/>
    <w:basedOn w:val="Normal"/>
    <w:link w:val="FooterChar"/>
    <w:uiPriority w:val="99"/>
    <w:unhideWhenUsed/>
    <w:rsid w:val="00F76AD8"/>
    <w:pPr>
      <w:tabs>
        <w:tab w:val="right" w:pos="9360"/>
      </w:tabs>
      <w:suppressAutoHyphens w:val="0"/>
      <w:spacing w:before="120" w:after="0" w:line="240" w:lineRule="auto"/>
      <w:ind w:right="0"/>
    </w:pPr>
    <w:rPr>
      <w:rFonts w:asciiTheme="majorHAnsi" w:hAnsiTheme="majorHAnsi"/>
      <w:b/>
      <w:caps/>
      <w:spacing w:val="0"/>
      <w:kern w:val="0"/>
      <w:sz w:val="16"/>
    </w:rPr>
  </w:style>
  <w:style w:type="character" w:customStyle="1" w:styleId="FooterChar">
    <w:name w:val="Footer Char"/>
    <w:basedOn w:val="DefaultParagraphFont"/>
    <w:link w:val="Footer"/>
    <w:uiPriority w:val="99"/>
    <w:rsid w:val="00F6221A"/>
    <w:rPr>
      <w:rFonts w:asciiTheme="majorHAnsi" w:hAnsiTheme="majorHAnsi"/>
      <w:b/>
      <w:caps/>
      <w:sz w:val="16"/>
    </w:rPr>
  </w:style>
  <w:style w:type="paragraph" w:customStyle="1" w:styleId="Sectiontitle-second">
    <w:name w:val="Section title-second"/>
    <w:basedOn w:val="Normal"/>
    <w:qFormat/>
    <w:rsid w:val="00F76AD8"/>
    <w:pPr>
      <w:pBdr>
        <w:bottom w:val="single" w:sz="18" w:space="1" w:color="92D050"/>
      </w:pBdr>
      <w:tabs>
        <w:tab w:val="left" w:pos="7147"/>
        <w:tab w:val="left" w:pos="9270"/>
        <w:tab w:val="right" w:pos="9360"/>
      </w:tabs>
      <w:suppressAutoHyphens w:val="0"/>
      <w:ind w:right="0"/>
      <w:jc w:val="right"/>
    </w:pPr>
    <w:rPr>
      <w:rFonts w:ascii="Calibri" w:hAnsi="Calibri"/>
      <w:i/>
      <w:color w:val="000066"/>
      <w:spacing w:val="0"/>
      <w:kern w:val="0"/>
      <w:sz w:val="48"/>
      <w:szCs w:val="48"/>
    </w:rPr>
  </w:style>
  <w:style w:type="paragraph" w:styleId="FootnoteText">
    <w:name w:val="footnote text"/>
    <w:basedOn w:val="Normal"/>
    <w:link w:val="FootnoteTextChar"/>
    <w:uiPriority w:val="99"/>
    <w:unhideWhenUsed/>
    <w:rsid w:val="00F76AD8"/>
    <w:pPr>
      <w:tabs>
        <w:tab w:val="left" w:pos="7147"/>
        <w:tab w:val="right" w:pos="9360"/>
      </w:tabs>
      <w:suppressAutoHyphens w:val="0"/>
      <w:spacing w:after="60" w:line="160" w:lineRule="exact"/>
    </w:pPr>
    <w:rPr>
      <w:rFonts w:ascii="Calibri" w:hAnsi="Calibri"/>
      <w:spacing w:val="0"/>
      <w:kern w:val="0"/>
      <w:sz w:val="14"/>
      <w:szCs w:val="20"/>
    </w:rPr>
  </w:style>
  <w:style w:type="character" w:customStyle="1" w:styleId="FootnoteTextChar">
    <w:name w:val="Footnote Text Char"/>
    <w:basedOn w:val="DefaultParagraphFont"/>
    <w:link w:val="FootnoteText"/>
    <w:uiPriority w:val="99"/>
    <w:rsid w:val="00CA1698"/>
    <w:rPr>
      <w:rFonts w:ascii="Calibri" w:hAnsi="Calibri"/>
      <w:sz w:val="14"/>
      <w:szCs w:val="20"/>
    </w:rPr>
  </w:style>
  <w:style w:type="character" w:styleId="FootnoteReference">
    <w:name w:val="footnote reference"/>
    <w:basedOn w:val="DefaultParagraphFont"/>
    <w:uiPriority w:val="99"/>
    <w:unhideWhenUsed/>
    <w:rsid w:val="00F6221A"/>
    <w:rPr>
      <w:vertAlign w:val="superscript"/>
    </w:rPr>
  </w:style>
  <w:style w:type="character" w:customStyle="1" w:styleId="DDTerm">
    <w:name w:val="D&amp;D Term"/>
    <w:uiPriority w:val="1"/>
    <w:qFormat/>
    <w:rsid w:val="00F6221A"/>
    <w:rPr>
      <w:rFonts w:ascii="Calibri" w:hAnsi="Calibri"/>
      <w:b/>
      <w:i/>
      <w:caps/>
      <w:color w:val="404040" w:themeColor="text1" w:themeTint="BF"/>
      <w:sz w:val="22"/>
      <w:szCs w:val="22"/>
    </w:rPr>
  </w:style>
  <w:style w:type="character" w:styleId="Hyperlink">
    <w:name w:val="Hyperlink"/>
    <w:basedOn w:val="DefaultParagraphFont"/>
    <w:uiPriority w:val="99"/>
    <w:unhideWhenUsed/>
    <w:rsid w:val="00F6221A"/>
    <w:rPr>
      <w:color w:val="1F497D" w:themeColor="hyperlink"/>
      <w:u w:val="single"/>
    </w:rPr>
  </w:style>
  <w:style w:type="table" w:styleId="ColorfulList-Accent4">
    <w:name w:val="Colorful List Accent 4"/>
    <w:aliases w:val="D&amp;D Table style"/>
    <w:basedOn w:val="TableNormal"/>
    <w:uiPriority w:val="72"/>
    <w:rsid w:val="00F6221A"/>
    <w:pPr>
      <w:spacing w:after="0" w:line="240" w:lineRule="auto"/>
    </w:pPr>
    <w:rPr>
      <w:color w:val="000000" w:themeColor="text1"/>
      <w:sz w:val="16"/>
    </w:rPr>
    <w:tblPr>
      <w:tblStyleRowBandSize w:val="1"/>
      <w:tblStyleColBandSize w:val="1"/>
      <w:tblInd w:w="144" w:type="dxa"/>
      <w:tblBorders>
        <w:top w:val="single" w:sz="6" w:space="0" w:color="000000" w:themeColor="text1"/>
        <w:bottom w:val="single" w:sz="6" w:space="0" w:color="000000" w:themeColor="text1"/>
        <w:insideH w:val="single" w:sz="6" w:space="0" w:color="000000" w:themeColor="text1"/>
      </w:tblBorders>
    </w:tblPr>
    <w:tcPr>
      <w:shd w:val="clear" w:color="auto" w:fill="E6E6E6" w:themeFill="background2" w:themeFillShade="E6"/>
      <w:vAlign w:val="bottom"/>
    </w:tcPr>
    <w:tblStylePr w:type="firstRow">
      <w:rPr>
        <w:rFonts w:ascii="Calibri" w:hAnsi="Calibri"/>
        <w:b w:val="0"/>
        <w:bCs/>
        <w:color w:val="D7E3BC" w:themeColor="background1"/>
        <w:sz w:val="16"/>
      </w:rPr>
      <w:tblPr/>
      <w:tcPr>
        <w:tcBorders>
          <w:bottom w:val="single" w:sz="12" w:space="0" w:color="D7E3BC" w:themeColor="background1"/>
        </w:tcBorders>
        <w:shd w:val="clear" w:color="auto" w:fill="82AE3E" w:themeFill="accent3" w:themeFillShade="CC"/>
      </w:tcPr>
    </w:tblStylePr>
    <w:tblStylePr w:type="lastRow">
      <w:rPr>
        <w:b/>
        <w:bCs/>
        <w:color w:val="82AE3E" w:themeColor="accent3" w:themeShade="CC"/>
      </w:rPr>
      <w:tblPr/>
      <w:tcPr>
        <w:tcBorders>
          <w:top w:val="single" w:sz="12" w:space="0" w:color="000000" w:themeColor="text1"/>
        </w:tcBorders>
        <w:shd w:val="clear" w:color="auto" w:fill="D7E3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A8C3" w:themeFill="accent4" w:themeFillTint="3F"/>
      </w:tcPr>
    </w:tblStylePr>
    <w:tblStylePr w:type="band1Horz">
      <w:tblPr/>
      <w:tcPr>
        <w:shd w:val="clear" w:color="auto" w:fill="F2B9CE" w:themeFill="accent4" w:themeFillTint="33"/>
      </w:tcPr>
    </w:tblStylePr>
  </w:style>
  <w:style w:type="paragraph" w:styleId="Caption">
    <w:name w:val="caption"/>
    <w:basedOn w:val="Normal"/>
    <w:next w:val="Normal"/>
    <w:uiPriority w:val="35"/>
    <w:unhideWhenUsed/>
    <w:rsid w:val="00F6221A"/>
    <w:pPr>
      <w:keepNext/>
      <w:spacing w:line="240" w:lineRule="auto"/>
      <w:ind w:right="-1728"/>
    </w:pPr>
    <w:rPr>
      <w:rFonts w:asciiTheme="majorHAnsi" w:hAnsiTheme="majorHAnsi"/>
      <w:b/>
      <w:bCs/>
      <w:color w:val="000000" w:themeColor="text1"/>
      <w:sz w:val="20"/>
      <w:szCs w:val="20"/>
    </w:rPr>
  </w:style>
  <w:style w:type="table" w:customStyle="1" w:styleId="DDTable">
    <w:name w:val="D&amp;D Table"/>
    <w:basedOn w:val="TableNormal"/>
    <w:uiPriority w:val="99"/>
    <w:qFormat/>
    <w:rsid w:val="00F6221A"/>
    <w:pPr>
      <w:spacing w:after="0" w:line="240" w:lineRule="auto"/>
      <w:jc w:val="right"/>
    </w:pPr>
    <w:rPr>
      <w:sz w:val="16"/>
    </w:rPr>
    <w:tblPr>
      <w:tblInd w:w="144" w:type="dxa"/>
      <w:tblBorders>
        <w:top w:val="single" w:sz="4" w:space="0" w:color="000000" w:themeColor="text1"/>
        <w:bottom w:val="single" w:sz="4" w:space="0" w:color="000000" w:themeColor="text1"/>
        <w:insideH w:val="single" w:sz="4" w:space="0" w:color="000000" w:themeColor="text1"/>
      </w:tblBorders>
      <w:tblCellMar>
        <w:left w:w="115" w:type="dxa"/>
        <w:bottom w:w="60" w:type="dxa"/>
        <w:right w:w="115" w:type="dxa"/>
      </w:tblCellMar>
    </w:tblPr>
    <w:tcPr>
      <w:shd w:val="clear" w:color="auto" w:fill="E6E6E6" w:themeFill="background2" w:themeFillShade="E6"/>
      <w:vAlign w:val="bottom"/>
    </w:tcPr>
    <w:tblStylePr w:type="firstRow">
      <w:rPr>
        <w:rFonts w:asciiTheme="minorHAnsi" w:hAnsiTheme="minorHAnsi"/>
        <w:b/>
        <w:sz w:val="16"/>
      </w:rPr>
    </w:tblStylePr>
    <w:tblStylePr w:type="firstCol">
      <w:pPr>
        <w:jc w:val="left"/>
      </w:pPr>
      <w:rPr>
        <w:rFonts w:ascii="Calibri" w:hAnsi="Calibri"/>
        <w:sz w:val="16"/>
      </w:rPr>
    </w:tblStylePr>
  </w:style>
  <w:style w:type="paragraph" w:customStyle="1" w:styleId="DDSource">
    <w:name w:val="D&amp;D Source"/>
    <w:basedOn w:val="Normal"/>
    <w:qFormat/>
    <w:rsid w:val="00F6221A"/>
    <w:pPr>
      <w:spacing w:before="150" w:line="160" w:lineRule="exact"/>
      <w:ind w:right="-1728"/>
    </w:pPr>
    <w:rPr>
      <w:rFonts w:ascii="Calibri" w:hAnsi="Calibri"/>
      <w:sz w:val="14"/>
      <w:szCs w:val="14"/>
    </w:rPr>
  </w:style>
  <w:style w:type="paragraph" w:customStyle="1" w:styleId="DDList">
    <w:name w:val="D&amp;D List"/>
    <w:basedOn w:val="Normal"/>
    <w:qFormat/>
    <w:rsid w:val="00F6221A"/>
    <w:pPr>
      <w:ind w:left="432"/>
    </w:pPr>
  </w:style>
  <w:style w:type="paragraph" w:customStyle="1" w:styleId="DDListBOLD">
    <w:name w:val="D&amp;D List BOLD"/>
    <w:next w:val="DDList"/>
    <w:link w:val="DDListBOLDChar"/>
    <w:qFormat/>
    <w:rsid w:val="00F6221A"/>
    <w:rPr>
      <w:rFonts w:ascii="Calibri" w:eastAsia="Times New Roman" w:hAnsi="Calibri" w:cs="Times New Roman"/>
      <w:b/>
      <w:caps/>
      <w:color w:val="404040" w:themeColor="text1" w:themeTint="BF"/>
      <w:spacing w:val="-2"/>
      <w:kern w:val="22"/>
    </w:rPr>
  </w:style>
  <w:style w:type="character" w:customStyle="1" w:styleId="DDListBOLDChar">
    <w:name w:val="D&amp;D List BOLD Char"/>
    <w:basedOn w:val="DefaultParagraphFont"/>
    <w:link w:val="DDListBOLD"/>
    <w:rsid w:val="00F6221A"/>
    <w:rPr>
      <w:rFonts w:ascii="Calibri" w:eastAsia="Times New Roman" w:hAnsi="Calibri" w:cs="Times New Roman"/>
      <w:b/>
      <w:caps/>
      <w:color w:val="404040" w:themeColor="text1" w:themeTint="BF"/>
      <w:spacing w:val="-2"/>
      <w:kern w:val="22"/>
    </w:rPr>
  </w:style>
  <w:style w:type="paragraph" w:styleId="DocumentMap">
    <w:name w:val="Document Map"/>
    <w:basedOn w:val="Normal"/>
    <w:link w:val="DocumentMapChar"/>
    <w:uiPriority w:val="99"/>
    <w:semiHidden/>
    <w:unhideWhenUsed/>
    <w:rsid w:val="003B1EF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B1EF7"/>
    <w:rPr>
      <w:rFonts w:ascii="Tahoma" w:hAnsi="Tahoma" w:cs="Tahoma"/>
      <w:sz w:val="16"/>
      <w:szCs w:val="16"/>
    </w:rPr>
  </w:style>
  <w:style w:type="paragraph" w:customStyle="1" w:styleId="Address-red">
    <w:name w:val="Address-red"/>
    <w:rsid w:val="00F6221A"/>
    <w:rPr>
      <w:rFonts w:asciiTheme="majorHAnsi" w:hAnsiTheme="majorHAnsi"/>
      <w:b/>
      <w:color w:val="A7596A"/>
      <w:spacing w:val="-2"/>
      <w:kern w:val="22"/>
      <w:sz w:val="18"/>
    </w:rPr>
  </w:style>
  <w:style w:type="paragraph" w:customStyle="1" w:styleId="DobsonDaVanzo">
    <w:name w:val="Dobson | DaVanzo"/>
    <w:basedOn w:val="Normal"/>
    <w:rsid w:val="00F6221A"/>
    <w:pPr>
      <w:spacing w:after="0"/>
    </w:pPr>
    <w:rPr>
      <w:rFonts w:ascii="Bookman Old Style" w:hAnsi="Bookman Old Style"/>
      <w:sz w:val="16"/>
      <w:szCs w:val="16"/>
    </w:rPr>
  </w:style>
  <w:style w:type="paragraph" w:styleId="ListBullet">
    <w:name w:val="List Bullet"/>
    <w:basedOn w:val="Normal"/>
    <w:uiPriority w:val="99"/>
    <w:unhideWhenUsed/>
    <w:rsid w:val="00F6221A"/>
    <w:pPr>
      <w:numPr>
        <w:numId w:val="1"/>
      </w:numPr>
      <w:contextualSpacing/>
    </w:pPr>
  </w:style>
  <w:style w:type="character" w:styleId="Strong">
    <w:name w:val="Strong"/>
    <w:basedOn w:val="DefaultParagraphFont"/>
    <w:uiPriority w:val="22"/>
    <w:qFormat/>
    <w:rsid w:val="00F6221A"/>
    <w:rPr>
      <w:b/>
      <w:bCs/>
    </w:rPr>
  </w:style>
  <w:style w:type="character" w:customStyle="1" w:styleId="UnresolvedMention1">
    <w:name w:val="Unresolved Mention1"/>
    <w:basedOn w:val="DefaultParagraphFont"/>
    <w:uiPriority w:val="99"/>
    <w:semiHidden/>
    <w:unhideWhenUsed/>
    <w:rsid w:val="008F4C61"/>
    <w:rPr>
      <w:color w:val="808080"/>
      <w:shd w:val="clear" w:color="auto" w:fill="E6E6E6"/>
    </w:rPr>
  </w:style>
  <w:style w:type="paragraph" w:customStyle="1" w:styleId="DDsidebarstyle">
    <w:name w:val="D&amp;D sidebar style"/>
    <w:basedOn w:val="Normal"/>
    <w:qFormat/>
    <w:rsid w:val="00937C99"/>
    <w:pPr>
      <w:framePr w:hSpace="230" w:wrap="around" w:vAnchor="text" w:hAnchor="page" w:x="8281" w:y="1"/>
      <w:tabs>
        <w:tab w:val="left" w:pos="7147"/>
        <w:tab w:val="right" w:pos="9360"/>
      </w:tabs>
      <w:suppressAutoHyphens w:val="0"/>
      <w:spacing w:after="0" w:line="360" w:lineRule="exact"/>
      <w:ind w:right="0"/>
      <w:suppressOverlap/>
    </w:pPr>
    <w:rPr>
      <w:rFonts w:asciiTheme="majorHAnsi" w:hAnsiTheme="majorHAnsi"/>
      <w:b/>
      <w:i/>
      <w:color w:val="000066"/>
      <w:spacing w:val="0"/>
      <w:kern w:val="0"/>
      <w:sz w:val="28"/>
      <w:szCs w:val="28"/>
    </w:rPr>
  </w:style>
  <w:style w:type="paragraph" w:customStyle="1" w:styleId="CoverTitle">
    <w:name w:val="Cover Title"/>
    <w:basedOn w:val="Normal"/>
    <w:next w:val="Normal"/>
    <w:qFormat/>
    <w:rsid w:val="003260C7"/>
    <w:pPr>
      <w:spacing w:after="240" w:line="600" w:lineRule="exact"/>
    </w:pPr>
    <w:rPr>
      <w:rFonts w:asciiTheme="majorHAnsi" w:hAnsiTheme="majorHAnsi"/>
      <w:b/>
      <w:noProof/>
      <w:color w:val="000066"/>
      <w:sz w:val="48"/>
      <w:szCs w:val="48"/>
    </w:rPr>
  </w:style>
  <w:style w:type="paragraph" w:customStyle="1" w:styleId="CoverSubtitle">
    <w:name w:val="Cover Subtitle"/>
    <w:basedOn w:val="Normal"/>
    <w:qFormat/>
    <w:rsid w:val="003260C7"/>
    <w:pPr>
      <w:spacing w:line="400" w:lineRule="exact"/>
    </w:pPr>
    <w:rPr>
      <w:rFonts w:asciiTheme="majorHAnsi" w:hAnsiTheme="majorHAnsi"/>
      <w:b/>
      <w:i/>
      <w:noProof/>
      <w:color w:val="A02051"/>
      <w:spacing w:val="2"/>
      <w:kern w:val="16"/>
      <w:sz w:val="34"/>
      <w:szCs w:val="34"/>
    </w:rPr>
  </w:style>
  <w:style w:type="table" w:styleId="ListTable4-Accent1">
    <w:name w:val="List Table 4 Accent 1"/>
    <w:basedOn w:val="TableNormal"/>
    <w:uiPriority w:val="49"/>
    <w:rsid w:val="003D3D87"/>
    <w:pPr>
      <w:spacing w:after="0" w:line="240" w:lineRule="auto"/>
    </w:pPr>
    <w:tblPr>
      <w:tblStyleRowBandSize w:val="1"/>
      <w:tblStyleColBandSize w:val="1"/>
      <w:tblBorders>
        <w:top w:val="single" w:sz="4" w:space="0" w:color="A9CB7D" w:themeColor="accent1" w:themeTint="99"/>
        <w:left w:val="single" w:sz="4" w:space="0" w:color="A9CB7D" w:themeColor="accent1" w:themeTint="99"/>
        <w:bottom w:val="single" w:sz="4" w:space="0" w:color="A9CB7D" w:themeColor="accent1" w:themeTint="99"/>
        <w:right w:val="single" w:sz="4" w:space="0" w:color="A9CB7D" w:themeColor="accent1" w:themeTint="99"/>
        <w:insideH w:val="single" w:sz="4" w:space="0" w:color="A9CB7D" w:themeColor="accent1" w:themeTint="99"/>
      </w:tblBorders>
    </w:tblPr>
    <w:tblStylePr w:type="firstRow">
      <w:rPr>
        <w:b/>
        <w:bCs/>
        <w:color w:val="D7E3BC" w:themeColor="background1"/>
      </w:rPr>
      <w:tblPr/>
      <w:tcPr>
        <w:tcBorders>
          <w:top w:val="single" w:sz="4" w:space="0" w:color="6E953B" w:themeColor="accent1"/>
          <w:left w:val="single" w:sz="4" w:space="0" w:color="6E953B" w:themeColor="accent1"/>
          <w:bottom w:val="single" w:sz="4" w:space="0" w:color="6E953B" w:themeColor="accent1"/>
          <w:right w:val="single" w:sz="4" w:space="0" w:color="6E953B" w:themeColor="accent1"/>
          <w:insideH w:val="nil"/>
        </w:tcBorders>
        <w:shd w:val="clear" w:color="auto" w:fill="6E953B" w:themeFill="accent1"/>
      </w:tcPr>
    </w:tblStylePr>
    <w:tblStylePr w:type="lastRow">
      <w:rPr>
        <w:b/>
        <w:bCs/>
      </w:rPr>
      <w:tblPr/>
      <w:tcPr>
        <w:tcBorders>
          <w:top w:val="double" w:sz="4" w:space="0" w:color="A9CB7D" w:themeColor="accent1" w:themeTint="99"/>
        </w:tcBorders>
      </w:tcPr>
    </w:tblStylePr>
    <w:tblStylePr w:type="firstCol">
      <w:rPr>
        <w:b/>
        <w:bCs/>
      </w:rPr>
    </w:tblStylePr>
    <w:tblStylePr w:type="lastCol">
      <w:rPr>
        <w:b/>
        <w:bCs/>
      </w:rPr>
    </w:tblStylePr>
    <w:tblStylePr w:type="band1Vert">
      <w:tblPr/>
      <w:tcPr>
        <w:shd w:val="clear" w:color="auto" w:fill="E2EDD3" w:themeFill="accent1" w:themeFillTint="33"/>
      </w:tcPr>
    </w:tblStylePr>
    <w:tblStylePr w:type="band1Horz">
      <w:tblPr/>
      <w:tcPr>
        <w:shd w:val="clear" w:color="auto" w:fill="E2EDD3" w:themeFill="accent1" w:themeFillTint="33"/>
      </w:tcPr>
    </w:tblStylePr>
  </w:style>
  <w:style w:type="character" w:styleId="CommentReference">
    <w:name w:val="annotation reference"/>
    <w:basedOn w:val="DefaultParagraphFont"/>
    <w:uiPriority w:val="99"/>
    <w:semiHidden/>
    <w:unhideWhenUsed/>
    <w:rsid w:val="000E3E33"/>
    <w:rPr>
      <w:sz w:val="16"/>
      <w:szCs w:val="16"/>
    </w:rPr>
  </w:style>
  <w:style w:type="paragraph" w:styleId="CommentText">
    <w:name w:val="annotation text"/>
    <w:basedOn w:val="Normal"/>
    <w:link w:val="CommentTextChar"/>
    <w:uiPriority w:val="99"/>
    <w:semiHidden/>
    <w:unhideWhenUsed/>
    <w:rsid w:val="000E3E33"/>
    <w:pPr>
      <w:spacing w:line="240" w:lineRule="auto"/>
    </w:pPr>
    <w:rPr>
      <w:sz w:val="20"/>
      <w:szCs w:val="20"/>
    </w:rPr>
  </w:style>
  <w:style w:type="character" w:customStyle="1" w:styleId="CommentTextChar">
    <w:name w:val="Comment Text Char"/>
    <w:basedOn w:val="DefaultParagraphFont"/>
    <w:link w:val="CommentText"/>
    <w:uiPriority w:val="99"/>
    <w:semiHidden/>
    <w:rsid w:val="000E3E33"/>
    <w:rPr>
      <w:spacing w:val="-2"/>
      <w:kern w:val="22"/>
      <w:sz w:val="20"/>
      <w:szCs w:val="20"/>
    </w:rPr>
  </w:style>
  <w:style w:type="paragraph" w:styleId="CommentSubject">
    <w:name w:val="annotation subject"/>
    <w:basedOn w:val="CommentText"/>
    <w:next w:val="CommentText"/>
    <w:link w:val="CommentSubjectChar"/>
    <w:uiPriority w:val="99"/>
    <w:semiHidden/>
    <w:unhideWhenUsed/>
    <w:rsid w:val="000E3E33"/>
    <w:rPr>
      <w:b/>
      <w:bCs/>
    </w:rPr>
  </w:style>
  <w:style w:type="character" w:customStyle="1" w:styleId="CommentSubjectChar">
    <w:name w:val="Comment Subject Char"/>
    <w:basedOn w:val="CommentTextChar"/>
    <w:link w:val="CommentSubject"/>
    <w:uiPriority w:val="99"/>
    <w:semiHidden/>
    <w:rsid w:val="000E3E33"/>
    <w:rPr>
      <w:b/>
      <w:bCs/>
      <w:spacing w:val="-2"/>
      <w:kern w:val="22"/>
      <w:sz w:val="20"/>
      <w:szCs w:val="20"/>
    </w:rPr>
  </w:style>
  <w:style w:type="paragraph" w:styleId="Revision">
    <w:name w:val="Revision"/>
    <w:hidden/>
    <w:uiPriority w:val="99"/>
    <w:semiHidden/>
    <w:rsid w:val="000E3E33"/>
    <w:pPr>
      <w:spacing w:after="0" w:line="240" w:lineRule="auto"/>
    </w:pPr>
    <w:rPr>
      <w:spacing w:val="-2"/>
      <w:kern w:val="22"/>
    </w:rPr>
  </w:style>
  <w:style w:type="paragraph" w:styleId="NormalWeb">
    <w:name w:val="Normal (Web)"/>
    <w:basedOn w:val="Normal"/>
    <w:uiPriority w:val="99"/>
    <w:semiHidden/>
    <w:unhideWhenUsed/>
    <w:rsid w:val="00266AF3"/>
    <w:pPr>
      <w:suppressAutoHyphens w:val="0"/>
      <w:spacing w:before="100" w:beforeAutospacing="1" w:after="100" w:afterAutospacing="1" w:line="240" w:lineRule="auto"/>
      <w:ind w:right="0"/>
    </w:pPr>
    <w:rPr>
      <w:rFonts w:ascii="Times New Roman" w:eastAsia="Times New Roman" w:hAnsi="Times New Roman" w:cs="Times New Roman"/>
      <w:spacing w:val="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70800">
      <w:bodyDiv w:val="1"/>
      <w:marLeft w:val="0"/>
      <w:marRight w:val="0"/>
      <w:marTop w:val="0"/>
      <w:marBottom w:val="0"/>
      <w:divBdr>
        <w:top w:val="none" w:sz="0" w:space="0" w:color="auto"/>
        <w:left w:val="none" w:sz="0" w:space="0" w:color="auto"/>
        <w:bottom w:val="none" w:sz="0" w:space="0" w:color="auto"/>
        <w:right w:val="none" w:sz="0" w:space="0" w:color="auto"/>
      </w:divBdr>
    </w:div>
    <w:div w:id="10182875">
      <w:bodyDiv w:val="1"/>
      <w:marLeft w:val="0"/>
      <w:marRight w:val="0"/>
      <w:marTop w:val="0"/>
      <w:marBottom w:val="0"/>
      <w:divBdr>
        <w:top w:val="none" w:sz="0" w:space="0" w:color="auto"/>
        <w:left w:val="none" w:sz="0" w:space="0" w:color="auto"/>
        <w:bottom w:val="none" w:sz="0" w:space="0" w:color="auto"/>
        <w:right w:val="none" w:sz="0" w:space="0" w:color="auto"/>
      </w:divBdr>
      <w:divsChild>
        <w:div w:id="42608052">
          <w:marLeft w:val="0"/>
          <w:marRight w:val="0"/>
          <w:marTop w:val="0"/>
          <w:marBottom w:val="0"/>
          <w:divBdr>
            <w:top w:val="none" w:sz="0" w:space="0" w:color="auto"/>
            <w:left w:val="none" w:sz="0" w:space="0" w:color="auto"/>
            <w:bottom w:val="none" w:sz="0" w:space="0" w:color="auto"/>
            <w:right w:val="none" w:sz="0" w:space="0" w:color="auto"/>
          </w:divBdr>
        </w:div>
      </w:divsChild>
    </w:div>
    <w:div w:id="43716764">
      <w:bodyDiv w:val="1"/>
      <w:marLeft w:val="0"/>
      <w:marRight w:val="0"/>
      <w:marTop w:val="0"/>
      <w:marBottom w:val="0"/>
      <w:divBdr>
        <w:top w:val="none" w:sz="0" w:space="0" w:color="auto"/>
        <w:left w:val="none" w:sz="0" w:space="0" w:color="auto"/>
        <w:bottom w:val="none" w:sz="0" w:space="0" w:color="auto"/>
        <w:right w:val="none" w:sz="0" w:space="0" w:color="auto"/>
      </w:divBdr>
    </w:div>
    <w:div w:id="62870307">
      <w:bodyDiv w:val="1"/>
      <w:marLeft w:val="0"/>
      <w:marRight w:val="0"/>
      <w:marTop w:val="0"/>
      <w:marBottom w:val="0"/>
      <w:divBdr>
        <w:top w:val="none" w:sz="0" w:space="0" w:color="auto"/>
        <w:left w:val="none" w:sz="0" w:space="0" w:color="auto"/>
        <w:bottom w:val="none" w:sz="0" w:space="0" w:color="auto"/>
        <w:right w:val="none" w:sz="0" w:space="0" w:color="auto"/>
      </w:divBdr>
      <w:divsChild>
        <w:div w:id="1463884361">
          <w:marLeft w:val="720"/>
          <w:marRight w:val="0"/>
          <w:marTop w:val="134"/>
          <w:marBottom w:val="0"/>
          <w:divBdr>
            <w:top w:val="none" w:sz="0" w:space="0" w:color="auto"/>
            <w:left w:val="none" w:sz="0" w:space="0" w:color="auto"/>
            <w:bottom w:val="none" w:sz="0" w:space="0" w:color="auto"/>
            <w:right w:val="none" w:sz="0" w:space="0" w:color="auto"/>
          </w:divBdr>
        </w:div>
      </w:divsChild>
    </w:div>
    <w:div w:id="82726967">
      <w:bodyDiv w:val="1"/>
      <w:marLeft w:val="0"/>
      <w:marRight w:val="0"/>
      <w:marTop w:val="0"/>
      <w:marBottom w:val="0"/>
      <w:divBdr>
        <w:top w:val="none" w:sz="0" w:space="0" w:color="auto"/>
        <w:left w:val="none" w:sz="0" w:space="0" w:color="auto"/>
        <w:bottom w:val="none" w:sz="0" w:space="0" w:color="auto"/>
        <w:right w:val="none" w:sz="0" w:space="0" w:color="auto"/>
      </w:divBdr>
    </w:div>
    <w:div w:id="96797425">
      <w:bodyDiv w:val="1"/>
      <w:marLeft w:val="0"/>
      <w:marRight w:val="0"/>
      <w:marTop w:val="0"/>
      <w:marBottom w:val="0"/>
      <w:divBdr>
        <w:top w:val="none" w:sz="0" w:space="0" w:color="auto"/>
        <w:left w:val="none" w:sz="0" w:space="0" w:color="auto"/>
        <w:bottom w:val="none" w:sz="0" w:space="0" w:color="auto"/>
        <w:right w:val="none" w:sz="0" w:space="0" w:color="auto"/>
      </w:divBdr>
    </w:div>
    <w:div w:id="217782387">
      <w:bodyDiv w:val="1"/>
      <w:marLeft w:val="0"/>
      <w:marRight w:val="0"/>
      <w:marTop w:val="0"/>
      <w:marBottom w:val="0"/>
      <w:divBdr>
        <w:top w:val="none" w:sz="0" w:space="0" w:color="auto"/>
        <w:left w:val="none" w:sz="0" w:space="0" w:color="auto"/>
        <w:bottom w:val="none" w:sz="0" w:space="0" w:color="auto"/>
        <w:right w:val="none" w:sz="0" w:space="0" w:color="auto"/>
      </w:divBdr>
    </w:div>
    <w:div w:id="231551954">
      <w:bodyDiv w:val="1"/>
      <w:marLeft w:val="0"/>
      <w:marRight w:val="0"/>
      <w:marTop w:val="0"/>
      <w:marBottom w:val="0"/>
      <w:divBdr>
        <w:top w:val="none" w:sz="0" w:space="0" w:color="auto"/>
        <w:left w:val="none" w:sz="0" w:space="0" w:color="auto"/>
        <w:bottom w:val="none" w:sz="0" w:space="0" w:color="auto"/>
        <w:right w:val="none" w:sz="0" w:space="0" w:color="auto"/>
      </w:divBdr>
    </w:div>
    <w:div w:id="281621830">
      <w:bodyDiv w:val="1"/>
      <w:marLeft w:val="0"/>
      <w:marRight w:val="0"/>
      <w:marTop w:val="0"/>
      <w:marBottom w:val="0"/>
      <w:divBdr>
        <w:top w:val="none" w:sz="0" w:space="0" w:color="auto"/>
        <w:left w:val="none" w:sz="0" w:space="0" w:color="auto"/>
        <w:bottom w:val="none" w:sz="0" w:space="0" w:color="auto"/>
        <w:right w:val="none" w:sz="0" w:space="0" w:color="auto"/>
      </w:divBdr>
      <w:divsChild>
        <w:div w:id="1866670049">
          <w:marLeft w:val="1584"/>
          <w:marRight w:val="0"/>
          <w:marTop w:val="125"/>
          <w:marBottom w:val="0"/>
          <w:divBdr>
            <w:top w:val="none" w:sz="0" w:space="0" w:color="auto"/>
            <w:left w:val="none" w:sz="0" w:space="0" w:color="auto"/>
            <w:bottom w:val="none" w:sz="0" w:space="0" w:color="auto"/>
            <w:right w:val="none" w:sz="0" w:space="0" w:color="auto"/>
          </w:divBdr>
        </w:div>
      </w:divsChild>
    </w:div>
    <w:div w:id="372846889">
      <w:bodyDiv w:val="1"/>
      <w:marLeft w:val="0"/>
      <w:marRight w:val="0"/>
      <w:marTop w:val="0"/>
      <w:marBottom w:val="0"/>
      <w:divBdr>
        <w:top w:val="none" w:sz="0" w:space="0" w:color="auto"/>
        <w:left w:val="none" w:sz="0" w:space="0" w:color="auto"/>
        <w:bottom w:val="none" w:sz="0" w:space="0" w:color="auto"/>
        <w:right w:val="none" w:sz="0" w:space="0" w:color="auto"/>
      </w:divBdr>
      <w:divsChild>
        <w:div w:id="1591160232">
          <w:marLeft w:val="0"/>
          <w:marRight w:val="0"/>
          <w:marTop w:val="0"/>
          <w:marBottom w:val="0"/>
          <w:divBdr>
            <w:top w:val="none" w:sz="0" w:space="0" w:color="auto"/>
            <w:left w:val="none" w:sz="0" w:space="0" w:color="auto"/>
            <w:bottom w:val="none" w:sz="0" w:space="0" w:color="auto"/>
            <w:right w:val="none" w:sz="0" w:space="0" w:color="auto"/>
          </w:divBdr>
          <w:divsChild>
            <w:div w:id="1810128498">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544832195">
      <w:bodyDiv w:val="1"/>
      <w:marLeft w:val="0"/>
      <w:marRight w:val="0"/>
      <w:marTop w:val="0"/>
      <w:marBottom w:val="0"/>
      <w:divBdr>
        <w:top w:val="none" w:sz="0" w:space="0" w:color="auto"/>
        <w:left w:val="none" w:sz="0" w:space="0" w:color="auto"/>
        <w:bottom w:val="none" w:sz="0" w:space="0" w:color="auto"/>
        <w:right w:val="none" w:sz="0" w:space="0" w:color="auto"/>
      </w:divBdr>
    </w:div>
    <w:div w:id="587345294">
      <w:bodyDiv w:val="1"/>
      <w:marLeft w:val="0"/>
      <w:marRight w:val="0"/>
      <w:marTop w:val="0"/>
      <w:marBottom w:val="0"/>
      <w:divBdr>
        <w:top w:val="none" w:sz="0" w:space="0" w:color="auto"/>
        <w:left w:val="none" w:sz="0" w:space="0" w:color="auto"/>
        <w:bottom w:val="none" w:sz="0" w:space="0" w:color="auto"/>
        <w:right w:val="none" w:sz="0" w:space="0" w:color="auto"/>
      </w:divBdr>
    </w:div>
    <w:div w:id="674382087">
      <w:bodyDiv w:val="1"/>
      <w:marLeft w:val="0"/>
      <w:marRight w:val="0"/>
      <w:marTop w:val="0"/>
      <w:marBottom w:val="0"/>
      <w:divBdr>
        <w:top w:val="none" w:sz="0" w:space="0" w:color="auto"/>
        <w:left w:val="none" w:sz="0" w:space="0" w:color="auto"/>
        <w:bottom w:val="none" w:sz="0" w:space="0" w:color="auto"/>
        <w:right w:val="none" w:sz="0" w:space="0" w:color="auto"/>
      </w:divBdr>
      <w:divsChild>
        <w:div w:id="1365904509">
          <w:marLeft w:val="720"/>
          <w:marRight w:val="0"/>
          <w:marTop w:val="134"/>
          <w:marBottom w:val="0"/>
          <w:divBdr>
            <w:top w:val="none" w:sz="0" w:space="0" w:color="auto"/>
            <w:left w:val="none" w:sz="0" w:space="0" w:color="auto"/>
            <w:bottom w:val="none" w:sz="0" w:space="0" w:color="auto"/>
            <w:right w:val="none" w:sz="0" w:space="0" w:color="auto"/>
          </w:divBdr>
        </w:div>
      </w:divsChild>
    </w:div>
    <w:div w:id="1013341478">
      <w:bodyDiv w:val="1"/>
      <w:marLeft w:val="0"/>
      <w:marRight w:val="0"/>
      <w:marTop w:val="0"/>
      <w:marBottom w:val="0"/>
      <w:divBdr>
        <w:top w:val="none" w:sz="0" w:space="0" w:color="auto"/>
        <w:left w:val="none" w:sz="0" w:space="0" w:color="auto"/>
        <w:bottom w:val="none" w:sz="0" w:space="0" w:color="auto"/>
        <w:right w:val="none" w:sz="0" w:space="0" w:color="auto"/>
      </w:divBdr>
      <w:divsChild>
        <w:div w:id="1892690928">
          <w:marLeft w:val="720"/>
          <w:marRight w:val="0"/>
          <w:marTop w:val="96"/>
          <w:marBottom w:val="0"/>
          <w:divBdr>
            <w:top w:val="none" w:sz="0" w:space="0" w:color="auto"/>
            <w:left w:val="none" w:sz="0" w:space="0" w:color="auto"/>
            <w:bottom w:val="none" w:sz="0" w:space="0" w:color="auto"/>
            <w:right w:val="none" w:sz="0" w:space="0" w:color="auto"/>
          </w:divBdr>
        </w:div>
      </w:divsChild>
    </w:div>
    <w:div w:id="1042293727">
      <w:bodyDiv w:val="1"/>
      <w:marLeft w:val="0"/>
      <w:marRight w:val="0"/>
      <w:marTop w:val="0"/>
      <w:marBottom w:val="0"/>
      <w:divBdr>
        <w:top w:val="none" w:sz="0" w:space="0" w:color="auto"/>
        <w:left w:val="none" w:sz="0" w:space="0" w:color="auto"/>
        <w:bottom w:val="none" w:sz="0" w:space="0" w:color="auto"/>
        <w:right w:val="none" w:sz="0" w:space="0" w:color="auto"/>
      </w:divBdr>
    </w:div>
    <w:div w:id="1136795750">
      <w:bodyDiv w:val="1"/>
      <w:marLeft w:val="0"/>
      <w:marRight w:val="0"/>
      <w:marTop w:val="0"/>
      <w:marBottom w:val="0"/>
      <w:divBdr>
        <w:top w:val="none" w:sz="0" w:space="0" w:color="auto"/>
        <w:left w:val="none" w:sz="0" w:space="0" w:color="auto"/>
        <w:bottom w:val="none" w:sz="0" w:space="0" w:color="auto"/>
        <w:right w:val="none" w:sz="0" w:space="0" w:color="auto"/>
      </w:divBdr>
    </w:div>
    <w:div w:id="1241016462">
      <w:bodyDiv w:val="1"/>
      <w:marLeft w:val="0"/>
      <w:marRight w:val="0"/>
      <w:marTop w:val="0"/>
      <w:marBottom w:val="0"/>
      <w:divBdr>
        <w:top w:val="none" w:sz="0" w:space="0" w:color="auto"/>
        <w:left w:val="none" w:sz="0" w:space="0" w:color="auto"/>
        <w:bottom w:val="none" w:sz="0" w:space="0" w:color="auto"/>
        <w:right w:val="none" w:sz="0" w:space="0" w:color="auto"/>
      </w:divBdr>
    </w:div>
    <w:div w:id="1306164425">
      <w:bodyDiv w:val="1"/>
      <w:marLeft w:val="0"/>
      <w:marRight w:val="0"/>
      <w:marTop w:val="0"/>
      <w:marBottom w:val="0"/>
      <w:divBdr>
        <w:top w:val="none" w:sz="0" w:space="0" w:color="auto"/>
        <w:left w:val="none" w:sz="0" w:space="0" w:color="auto"/>
        <w:bottom w:val="none" w:sz="0" w:space="0" w:color="auto"/>
        <w:right w:val="none" w:sz="0" w:space="0" w:color="auto"/>
      </w:divBdr>
    </w:div>
    <w:div w:id="1345403697">
      <w:bodyDiv w:val="1"/>
      <w:marLeft w:val="0"/>
      <w:marRight w:val="0"/>
      <w:marTop w:val="0"/>
      <w:marBottom w:val="0"/>
      <w:divBdr>
        <w:top w:val="none" w:sz="0" w:space="0" w:color="auto"/>
        <w:left w:val="none" w:sz="0" w:space="0" w:color="auto"/>
        <w:bottom w:val="none" w:sz="0" w:space="0" w:color="auto"/>
        <w:right w:val="none" w:sz="0" w:space="0" w:color="auto"/>
      </w:divBdr>
    </w:div>
    <w:div w:id="1355382636">
      <w:bodyDiv w:val="1"/>
      <w:marLeft w:val="0"/>
      <w:marRight w:val="0"/>
      <w:marTop w:val="0"/>
      <w:marBottom w:val="0"/>
      <w:divBdr>
        <w:top w:val="none" w:sz="0" w:space="0" w:color="auto"/>
        <w:left w:val="none" w:sz="0" w:space="0" w:color="auto"/>
        <w:bottom w:val="none" w:sz="0" w:space="0" w:color="auto"/>
        <w:right w:val="none" w:sz="0" w:space="0" w:color="auto"/>
      </w:divBdr>
    </w:div>
    <w:div w:id="1426270595">
      <w:bodyDiv w:val="1"/>
      <w:marLeft w:val="0"/>
      <w:marRight w:val="0"/>
      <w:marTop w:val="0"/>
      <w:marBottom w:val="0"/>
      <w:divBdr>
        <w:top w:val="none" w:sz="0" w:space="0" w:color="auto"/>
        <w:left w:val="none" w:sz="0" w:space="0" w:color="auto"/>
        <w:bottom w:val="none" w:sz="0" w:space="0" w:color="auto"/>
        <w:right w:val="none" w:sz="0" w:space="0" w:color="auto"/>
      </w:divBdr>
    </w:div>
    <w:div w:id="1454403967">
      <w:bodyDiv w:val="1"/>
      <w:marLeft w:val="0"/>
      <w:marRight w:val="0"/>
      <w:marTop w:val="0"/>
      <w:marBottom w:val="0"/>
      <w:divBdr>
        <w:top w:val="none" w:sz="0" w:space="0" w:color="auto"/>
        <w:left w:val="none" w:sz="0" w:space="0" w:color="auto"/>
        <w:bottom w:val="none" w:sz="0" w:space="0" w:color="auto"/>
        <w:right w:val="none" w:sz="0" w:space="0" w:color="auto"/>
      </w:divBdr>
    </w:div>
    <w:div w:id="1709643582">
      <w:bodyDiv w:val="1"/>
      <w:marLeft w:val="0"/>
      <w:marRight w:val="0"/>
      <w:marTop w:val="0"/>
      <w:marBottom w:val="0"/>
      <w:divBdr>
        <w:top w:val="none" w:sz="0" w:space="0" w:color="auto"/>
        <w:left w:val="none" w:sz="0" w:space="0" w:color="auto"/>
        <w:bottom w:val="none" w:sz="0" w:space="0" w:color="auto"/>
        <w:right w:val="none" w:sz="0" w:space="0" w:color="auto"/>
      </w:divBdr>
    </w:div>
    <w:div w:id="1896116540">
      <w:bodyDiv w:val="1"/>
      <w:marLeft w:val="0"/>
      <w:marRight w:val="0"/>
      <w:marTop w:val="0"/>
      <w:marBottom w:val="0"/>
      <w:divBdr>
        <w:top w:val="none" w:sz="0" w:space="0" w:color="auto"/>
        <w:left w:val="none" w:sz="0" w:space="0" w:color="auto"/>
        <w:bottom w:val="none" w:sz="0" w:space="0" w:color="auto"/>
        <w:right w:val="none" w:sz="0" w:space="0" w:color="auto"/>
      </w:divBdr>
    </w:div>
    <w:div w:id="206139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obson_DaVanzo">
      <a:dk1>
        <a:sysClr val="windowText" lastClr="000000"/>
      </a:dk1>
      <a:lt1>
        <a:srgbClr val="D7E3BC"/>
      </a:lt1>
      <a:dk2>
        <a:srgbClr val="000066"/>
      </a:dk2>
      <a:lt2>
        <a:srgbClr val="FFFFFF"/>
      </a:lt2>
      <a:accent1>
        <a:srgbClr val="6E953B"/>
      </a:accent1>
      <a:accent2>
        <a:srgbClr val="17365D"/>
      </a:accent2>
      <a:accent3>
        <a:srgbClr val="9FC761"/>
      </a:accent3>
      <a:accent4>
        <a:srgbClr val="500F28"/>
      </a:accent4>
      <a:accent5>
        <a:srgbClr val="31859B"/>
      </a:accent5>
      <a:accent6>
        <a:srgbClr val="E36C09"/>
      </a:accent6>
      <a:hlink>
        <a:srgbClr val="1F497D"/>
      </a:hlink>
      <a:folHlink>
        <a:srgbClr val="5F0060"/>
      </a:folHlink>
    </a:clrScheme>
    <a:fontScheme name="Dobson_DaVanzo">
      <a:majorFont>
        <a:latin typeface="Calibri"/>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DaV</b:Tag>
    <b:SourceType>Misc</b:SourceType>
    <b:Guid>{DCE15DAF-04A9-42DB-BA95-768D532CD388}</b:Guid>
    <b:Author>
      <b:Author>
        <b:NameList>
          <b:Person>
            <b:Last>DaVanzo</b:Last>
            <b:First>Dobson</b:First>
          </b:Person>
        </b:NameList>
      </b:Author>
    </b:Author>
    <b:Title>Analysis of the Dietary Supplement Indusrty using IMPLAN</b:Title>
    <b:RefOrder>1</b:RefOrder>
  </b:Source>
</b:Sources>
</file>

<file path=customXml/itemProps1.xml><?xml version="1.0" encoding="utf-8"?>
<ds:datastoreItem xmlns:ds="http://schemas.openxmlformats.org/officeDocument/2006/customXml" ds:itemID="{63DF7CDF-54F7-48C8-A707-493C365F4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4828</Words>
  <Characters>27522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Rhodes</dc:creator>
  <cp:lastModifiedBy>Joanne Cunningham</cp:lastModifiedBy>
  <cp:revision>2</cp:revision>
  <cp:lastPrinted>2019-09-09T13:18:00Z</cp:lastPrinted>
  <dcterms:created xsi:type="dcterms:W3CDTF">2020-10-19T13:17:00Z</dcterms:created>
  <dcterms:modified xsi:type="dcterms:W3CDTF">2020-10-19T13:17:00Z</dcterms:modified>
</cp:coreProperties>
</file>