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4C7B" w14:textId="35E05C86" w:rsidR="007E5E7D" w:rsidRPr="007E5E7D" w:rsidRDefault="007E5E7D" w:rsidP="007E5E7D">
      <w:pPr>
        <w:spacing w:after="0"/>
        <w:jc w:val="center"/>
        <w:rPr>
          <w:rFonts w:asciiTheme="majorHAnsi" w:hAnsiTheme="majorHAnsi" w:cstheme="majorHAnsi"/>
        </w:rPr>
      </w:pPr>
      <w:bookmarkStart w:id="0" w:name="_GoBack"/>
      <w:bookmarkEnd w:id="0"/>
      <w:r w:rsidRPr="007E5E7D">
        <w:rPr>
          <w:rFonts w:asciiTheme="majorHAnsi" w:hAnsiTheme="majorHAnsi" w:cstheme="majorHAnsi"/>
        </w:rPr>
        <w:t>Excerpt from</w:t>
      </w:r>
    </w:p>
    <w:p w14:paraId="39356283" w14:textId="1DB76BB2" w:rsidR="00D9548A" w:rsidRPr="007E5E7D" w:rsidRDefault="007E5E7D" w:rsidP="007E5E7D">
      <w:pPr>
        <w:spacing w:after="0"/>
        <w:jc w:val="center"/>
        <w:rPr>
          <w:rFonts w:asciiTheme="majorHAnsi" w:hAnsiTheme="majorHAnsi" w:cstheme="majorHAnsi"/>
          <w:b/>
        </w:rPr>
      </w:pPr>
      <w:r w:rsidRPr="007E5E7D">
        <w:rPr>
          <w:rFonts w:asciiTheme="majorHAnsi" w:hAnsiTheme="majorHAnsi" w:cstheme="majorHAnsi"/>
          <w:b/>
        </w:rPr>
        <w:t>LEAD AND COPPER RULE REVISIONS WHITE PAPER</w:t>
      </w:r>
    </w:p>
    <w:p w14:paraId="6770E900" w14:textId="5E672417" w:rsidR="007E5E7D" w:rsidRPr="007E5E7D" w:rsidRDefault="007E5E7D" w:rsidP="007E5E7D">
      <w:pPr>
        <w:jc w:val="center"/>
        <w:rPr>
          <w:rFonts w:asciiTheme="majorHAnsi" w:hAnsiTheme="majorHAnsi" w:cstheme="majorHAnsi"/>
        </w:rPr>
      </w:pPr>
      <w:r w:rsidRPr="007E5E7D">
        <w:rPr>
          <w:rFonts w:asciiTheme="majorHAnsi" w:hAnsiTheme="majorHAnsi" w:cstheme="majorHAnsi"/>
        </w:rPr>
        <w:t>EPA, October, 2016, page 3</w:t>
      </w:r>
    </w:p>
    <w:p w14:paraId="54800BBD" w14:textId="77777777" w:rsidR="007E5E7D" w:rsidRPr="007E5E7D" w:rsidRDefault="007E5E7D" w:rsidP="007E5E7D">
      <w:pPr>
        <w:pStyle w:val="Default"/>
        <w:rPr>
          <w:rFonts w:asciiTheme="majorHAnsi" w:hAnsiTheme="majorHAnsi" w:cstheme="majorHAnsi"/>
          <w:sz w:val="20"/>
          <w:szCs w:val="22"/>
        </w:rPr>
      </w:pPr>
      <w:r w:rsidRPr="007E5E7D">
        <w:rPr>
          <w:rFonts w:asciiTheme="majorHAnsi" w:hAnsiTheme="majorHAnsi" w:cstheme="majorHAnsi"/>
          <w:sz w:val="20"/>
          <w:szCs w:val="22"/>
        </w:rPr>
        <w:t xml:space="preserve">“Exposure to lead is known to present serious health risks to the brain and nervous system of children. The recent crisis in Flint, Michigan, has brought increased attention to the challenge of lead in drinking water systems across the country. It is important to recognize that major reductions in been achieved in childhood exposure to lead in the United States. Data show that from 1976 – 1980 the median blood lead level of a child (1-5 years old) was 15 micrograms per deciliter. </w:t>
      </w:r>
      <w:r w:rsidRPr="007E5E7D">
        <w:rPr>
          <w:rFonts w:asciiTheme="majorHAnsi" w:hAnsiTheme="majorHAnsi" w:cstheme="majorHAnsi"/>
          <w:b/>
          <w:sz w:val="20"/>
          <w:szCs w:val="22"/>
        </w:rPr>
        <w:t xml:space="preserve">That median level has been reduced dramatically since then, to 1 microgram per deciliter, based on the most recent data. Further, over the last twenty-five years, the percentage of children aged 1–5 years with blood lead levels less than or equal to 5 micrograms per deciliter declined more than ten-fold, and blood lead levels fell dramatically for all racial and ethnic groups. </w:t>
      </w:r>
      <w:r w:rsidRPr="007E5E7D">
        <w:rPr>
          <w:rFonts w:asciiTheme="majorHAnsi" w:hAnsiTheme="majorHAnsi" w:cstheme="majorHAnsi"/>
          <w:sz w:val="20"/>
          <w:szCs w:val="22"/>
        </w:rPr>
        <w:t>These improvements were made by removing lead from toys and lead solder in cans, taking lead out of gasoline, reducing exposure to lead in paint and dust in homes and during renovations, greatly reducing the allowable content of lead in plumbing materials in homes and other buildings, and further reducing lead in drinking water through the federal Lead and Copper Rule (LCR). Although we have taken significant steps to protect our children from the detrimental effects of lead poisoning, there is more to do.</w:t>
      </w:r>
    </w:p>
    <w:p w14:paraId="31B2F558" w14:textId="46C37C30" w:rsidR="007E5E7D" w:rsidRPr="007E5E7D" w:rsidRDefault="007E5E7D" w:rsidP="007E5E7D">
      <w:pPr>
        <w:pStyle w:val="Default"/>
        <w:rPr>
          <w:rFonts w:asciiTheme="majorHAnsi" w:hAnsiTheme="majorHAnsi" w:cstheme="majorHAnsi"/>
          <w:sz w:val="20"/>
          <w:szCs w:val="22"/>
        </w:rPr>
      </w:pPr>
      <w:r w:rsidRPr="007E5E7D">
        <w:rPr>
          <w:rFonts w:asciiTheme="majorHAnsi" w:hAnsiTheme="majorHAnsi" w:cstheme="majorHAnsi"/>
          <w:sz w:val="20"/>
          <w:szCs w:val="22"/>
        </w:rPr>
        <w:t xml:space="preserve"> </w:t>
      </w:r>
    </w:p>
    <w:p w14:paraId="397AEE30" w14:textId="77777777" w:rsidR="007E5E7D" w:rsidRPr="007E5E7D" w:rsidRDefault="007E5E7D" w:rsidP="007E5E7D">
      <w:pPr>
        <w:pStyle w:val="Default"/>
        <w:rPr>
          <w:rFonts w:asciiTheme="majorHAnsi" w:hAnsiTheme="majorHAnsi" w:cstheme="majorHAnsi"/>
          <w:sz w:val="20"/>
          <w:szCs w:val="22"/>
        </w:rPr>
      </w:pPr>
      <w:r w:rsidRPr="007E5E7D">
        <w:rPr>
          <w:rFonts w:asciiTheme="majorHAnsi" w:hAnsiTheme="majorHAnsi" w:cstheme="majorHAnsi"/>
          <w:sz w:val="20"/>
          <w:szCs w:val="22"/>
        </w:rPr>
        <w:t xml:space="preserve">Lead and copper enter drinking water mainly from corrosion of lead and copper containing plumbing materials. </w:t>
      </w:r>
      <w:r w:rsidRPr="007E5E7D">
        <w:rPr>
          <w:rFonts w:asciiTheme="majorHAnsi" w:hAnsiTheme="majorHAnsi" w:cstheme="majorHAnsi"/>
          <w:b/>
          <w:sz w:val="20"/>
          <w:szCs w:val="22"/>
        </w:rPr>
        <w:t>Lead was widely used in plumbing materials until Congress banned its use in 1986, and there are an estimated 6.5 to 10 million homes served by lead service lines (LSLs) in thousands of communities nationwide, in addition to millions of older buildings with lead solder across the U.S. Lead exposure</w:t>
      </w:r>
      <w:r w:rsidRPr="007E5E7D">
        <w:rPr>
          <w:rFonts w:asciiTheme="majorHAnsi" w:hAnsiTheme="majorHAnsi" w:cstheme="majorHAnsi"/>
          <w:sz w:val="20"/>
          <w:szCs w:val="22"/>
        </w:rPr>
        <w:t xml:space="preserve">, whether through drinking water, soil, dust or air, can result in serious adverse health effects, particularly for young children. Infants and children exposed to lead may experience delays in physical and mental development and may show deficits in attention span and learning disabilities. In adults, lead exposure can cause kidney problems and high blood pressure. Copper exposure can cause stomach and intestinal distress, liver and kidney damage, and complications of Wilson’s disease in genetically predisposed people. </w:t>
      </w:r>
    </w:p>
    <w:p w14:paraId="2A338B76" w14:textId="77777777" w:rsidR="007E5E7D" w:rsidRPr="007E5E7D" w:rsidRDefault="007E5E7D" w:rsidP="007E5E7D">
      <w:pPr>
        <w:pStyle w:val="Default"/>
        <w:rPr>
          <w:rFonts w:asciiTheme="majorHAnsi" w:hAnsiTheme="majorHAnsi" w:cstheme="majorHAnsi"/>
          <w:sz w:val="20"/>
          <w:szCs w:val="22"/>
        </w:rPr>
      </w:pPr>
    </w:p>
    <w:p w14:paraId="3C106A46" w14:textId="4F4F2461" w:rsidR="007E5E7D" w:rsidRPr="007E5E7D" w:rsidRDefault="007E5E7D" w:rsidP="007E5E7D">
      <w:pPr>
        <w:pStyle w:val="Default"/>
        <w:rPr>
          <w:rFonts w:asciiTheme="majorHAnsi" w:hAnsiTheme="majorHAnsi" w:cstheme="majorHAnsi"/>
          <w:sz w:val="20"/>
          <w:szCs w:val="22"/>
        </w:rPr>
      </w:pPr>
      <w:r w:rsidRPr="007E5E7D">
        <w:rPr>
          <w:rFonts w:asciiTheme="majorHAnsi" w:hAnsiTheme="majorHAnsi" w:cstheme="majorHAnsi"/>
          <w:sz w:val="20"/>
          <w:szCs w:val="22"/>
        </w:rPr>
        <w:t xml:space="preserve">In 1991, EPA promulgated the LCR – a treatment technique regulation under the Safe Drinking Water Act (SDWA) – to protect public health by minimizing lead and copper levels in drinking water, primarily by reducing water corrosivity through corrosion control treatment. This rule applies to 68,000 public water systems nationwide. </w:t>
      </w:r>
      <w:r w:rsidRPr="007E5E7D">
        <w:rPr>
          <w:rFonts w:asciiTheme="majorHAnsi" w:hAnsiTheme="majorHAnsi" w:cstheme="majorHAnsi"/>
          <w:b/>
          <w:sz w:val="20"/>
          <w:szCs w:val="22"/>
        </w:rPr>
        <w:t>EPA has continued to work to make the LCR more effective through interim revisions promulgated in 2000 and 2007.</w:t>
      </w:r>
      <w:r w:rsidRPr="007E5E7D">
        <w:rPr>
          <w:rFonts w:asciiTheme="majorHAnsi" w:hAnsiTheme="majorHAnsi" w:cstheme="majorHAnsi"/>
          <w:sz w:val="20"/>
          <w:szCs w:val="22"/>
        </w:rPr>
        <w:t xml:space="preserve"> </w:t>
      </w:r>
    </w:p>
    <w:p w14:paraId="6E2CAF99" w14:textId="77777777" w:rsidR="007E5E7D" w:rsidRPr="007E5E7D" w:rsidRDefault="007E5E7D" w:rsidP="007E5E7D">
      <w:pPr>
        <w:spacing w:after="0"/>
        <w:rPr>
          <w:rFonts w:asciiTheme="majorHAnsi" w:hAnsiTheme="majorHAnsi" w:cstheme="majorHAnsi"/>
          <w:sz w:val="20"/>
        </w:rPr>
      </w:pPr>
    </w:p>
    <w:p w14:paraId="44858F93" w14:textId="54D9532C" w:rsidR="007E5E7D" w:rsidRPr="007E5E7D" w:rsidRDefault="007E5E7D" w:rsidP="007E5E7D">
      <w:pPr>
        <w:rPr>
          <w:rFonts w:asciiTheme="majorHAnsi" w:hAnsiTheme="majorHAnsi" w:cstheme="majorHAnsi"/>
          <w:sz w:val="20"/>
        </w:rPr>
      </w:pPr>
      <w:r w:rsidRPr="007E5E7D">
        <w:rPr>
          <w:rFonts w:asciiTheme="majorHAnsi" w:hAnsiTheme="majorHAnsi" w:cstheme="majorHAnsi"/>
          <w:b/>
          <w:sz w:val="20"/>
        </w:rPr>
        <w:t>Implementation of the LCR over the past twenty-five years has resulted in major improvements in public health;</w:t>
      </w:r>
      <w:r w:rsidRPr="007E5E7D">
        <w:rPr>
          <w:rFonts w:asciiTheme="majorHAnsi" w:hAnsiTheme="majorHAnsi" w:cstheme="majorHAnsi"/>
          <w:sz w:val="20"/>
        </w:rPr>
        <w:t xml:space="preserve"> </w:t>
      </w:r>
      <w:r w:rsidRPr="007E5E7D">
        <w:rPr>
          <w:rFonts w:asciiTheme="majorHAnsi" w:hAnsiTheme="majorHAnsi" w:cstheme="majorHAnsi"/>
          <w:b/>
          <w:sz w:val="20"/>
        </w:rPr>
        <w:t>the number of the nation’s large drinking water systems with a 90th percentile sample value exceeding the LCR action level of 15 parts per billion has decreased by over 90 percent since the initial implementation of the LCR</w:t>
      </w:r>
      <w:r w:rsidRPr="007E5E7D">
        <w:rPr>
          <w:rFonts w:asciiTheme="majorHAnsi" w:hAnsiTheme="majorHAnsi" w:cstheme="majorHAnsi"/>
          <w:sz w:val="20"/>
        </w:rPr>
        <w:t xml:space="preserve">. However, the regulation and its implementation are in urgent need of an overhaul. Lead crises in Washington, DC, and in Flint, Michigan, and the subsequent national attention focused on lead in drinking water in other communities, have underscored significant challenges in the implementation of the current rule, including a rule structure that for many systems only compels protective actions after public health threats have been identified. Key challenges include the rule’s complexity, the degree of discretion it affords with regard to optimization of corrosion control treatment and compliance sampling practices that in some cases, may not adequately protect from lead exposure, and limited specific focus on key areas of concern such as schools. </w:t>
      </w:r>
      <w:r w:rsidRPr="007E5E7D">
        <w:rPr>
          <w:rFonts w:asciiTheme="majorHAnsi" w:hAnsiTheme="majorHAnsi" w:cstheme="majorHAnsi"/>
          <w:b/>
          <w:sz w:val="20"/>
        </w:rPr>
        <w:t>There is a compelling need to modernize and strengthen implementation of the rule – to strengthen its public health protections and to clarify its implementation requirements to make it more effective and more readily enforceable.</w:t>
      </w:r>
      <w:r w:rsidRPr="007E5E7D">
        <w:rPr>
          <w:rFonts w:asciiTheme="majorHAnsi" w:hAnsiTheme="majorHAnsi" w:cstheme="majorHAnsi"/>
          <w:sz w:val="20"/>
        </w:rPr>
        <w:t>”</w:t>
      </w:r>
    </w:p>
    <w:p w14:paraId="5A192313" w14:textId="677126ED" w:rsidR="007E5E7D" w:rsidRDefault="007E5E7D" w:rsidP="007E5E7D"/>
    <w:p w14:paraId="7AEF46C2" w14:textId="487A798F" w:rsidR="007E5E7D" w:rsidRDefault="007E5E7D">
      <w:r>
        <w:br w:type="page"/>
      </w:r>
    </w:p>
    <w:p w14:paraId="1049588F" w14:textId="0B7E4C24" w:rsidR="00FB0BFB" w:rsidRDefault="00FB0BFB" w:rsidP="00FB0BFB">
      <w:pPr>
        <w:spacing w:after="0"/>
        <w:jc w:val="center"/>
        <w:rPr>
          <w:rFonts w:asciiTheme="majorHAnsi" w:hAnsiTheme="majorHAnsi" w:cstheme="majorHAnsi"/>
        </w:rPr>
      </w:pPr>
      <w:r>
        <w:rPr>
          <w:rFonts w:asciiTheme="majorHAnsi" w:hAnsiTheme="majorHAnsi" w:cstheme="majorHAnsi"/>
        </w:rPr>
        <w:lastRenderedPageBreak/>
        <w:t>Excerpt from</w:t>
      </w:r>
    </w:p>
    <w:p w14:paraId="35D5476B" w14:textId="32054C35" w:rsidR="007E5E7D" w:rsidRPr="007E5E7D" w:rsidRDefault="00FB0BFB" w:rsidP="00FB0BFB">
      <w:pPr>
        <w:spacing w:after="0"/>
        <w:jc w:val="center"/>
        <w:rPr>
          <w:rFonts w:asciiTheme="majorHAnsi" w:hAnsiTheme="majorHAnsi" w:cstheme="majorHAnsi"/>
          <w:b/>
        </w:rPr>
      </w:pPr>
      <w:r w:rsidRPr="00FB0BFB">
        <w:rPr>
          <w:rFonts w:asciiTheme="majorHAnsi" w:hAnsiTheme="majorHAnsi" w:cstheme="majorHAnsi"/>
          <w:b/>
        </w:rPr>
        <w:t>LEAD REDUCTION IS A NATIONAL SUCCESS STORY</w:t>
      </w:r>
    </w:p>
    <w:p w14:paraId="724E228F" w14:textId="27B7B695" w:rsidR="007E5E7D" w:rsidRPr="007E5E7D" w:rsidRDefault="00DA274C" w:rsidP="00FB0BFB">
      <w:pPr>
        <w:spacing w:after="0"/>
        <w:jc w:val="center"/>
        <w:rPr>
          <w:rFonts w:asciiTheme="majorHAnsi" w:hAnsiTheme="majorHAnsi" w:cstheme="majorHAnsi"/>
        </w:rPr>
      </w:pPr>
      <w:hyperlink r:id="rId9" w:history="1">
        <w:r w:rsidR="007E5E7D" w:rsidRPr="007E5E7D">
          <w:rPr>
            <w:rFonts w:asciiTheme="majorHAnsi" w:hAnsiTheme="majorHAnsi" w:cstheme="majorHAnsi"/>
          </w:rPr>
          <w:t>Joseph A. Cotruvo</w:t>
        </w:r>
      </w:hyperlink>
      <w:r w:rsidR="007E5E7D" w:rsidRPr="00FB0BFB">
        <w:rPr>
          <w:rFonts w:asciiTheme="majorHAnsi" w:hAnsiTheme="majorHAnsi" w:cstheme="majorHAnsi"/>
        </w:rPr>
        <w:t xml:space="preserve">, Journal AWWA </w:t>
      </w:r>
      <w:r w:rsidR="00FB0BFB" w:rsidRPr="00FB0BFB">
        <w:rPr>
          <w:rFonts w:asciiTheme="majorHAnsi" w:hAnsiTheme="majorHAnsi" w:cstheme="majorHAnsi"/>
        </w:rPr>
        <w:t>(</w:t>
      </w:r>
      <w:hyperlink r:id="rId10" w:history="1">
        <w:r w:rsidR="00FB0BFB" w:rsidRPr="007E5E7D">
          <w:rPr>
            <w:rFonts w:asciiTheme="majorHAnsi" w:hAnsiTheme="majorHAnsi" w:cstheme="majorHAnsi"/>
          </w:rPr>
          <w:t>https://doi.org/10.1002/awwa.1277</w:t>
        </w:r>
      </w:hyperlink>
      <w:r w:rsidR="00FB0BFB" w:rsidRPr="00FB0BFB">
        <w:rPr>
          <w:rFonts w:asciiTheme="majorHAnsi" w:hAnsiTheme="majorHAnsi" w:cstheme="majorHAnsi"/>
        </w:rPr>
        <w:t xml:space="preserve">), </w:t>
      </w:r>
      <w:r w:rsidR="007E5E7D" w:rsidRPr="007E5E7D">
        <w:rPr>
          <w:rFonts w:asciiTheme="majorHAnsi" w:hAnsiTheme="majorHAnsi" w:cstheme="majorHAnsi"/>
        </w:rPr>
        <w:t>April 2019</w:t>
      </w:r>
    </w:p>
    <w:p w14:paraId="177F294A" w14:textId="47C7DE18" w:rsidR="00FB0BFB" w:rsidRPr="007E5E7D" w:rsidRDefault="007E5E7D" w:rsidP="007E5E7D">
      <w:pPr>
        <w:shd w:val="clear" w:color="auto" w:fill="FFFFFF"/>
        <w:spacing w:after="0" w:line="240" w:lineRule="auto"/>
        <w:rPr>
          <w:rFonts w:asciiTheme="majorHAnsi" w:eastAsia="Times New Roman" w:hAnsiTheme="majorHAnsi" w:cstheme="majorHAnsi"/>
          <w:color w:val="767676"/>
        </w:rPr>
      </w:pPr>
      <w:r w:rsidRPr="007E5E7D">
        <w:rPr>
          <w:rFonts w:asciiTheme="majorHAnsi" w:eastAsia="Times New Roman" w:hAnsiTheme="majorHAnsi" w:cstheme="majorHAnsi"/>
          <w:color w:val="767676"/>
        </w:rPr>
        <w:t> </w:t>
      </w:r>
    </w:p>
    <w:p w14:paraId="1FCA803A" w14:textId="52DC50D8" w:rsidR="001D0CD8" w:rsidRDefault="00087E23" w:rsidP="002E1339">
      <w:pPr>
        <w:pStyle w:val="Default"/>
        <w:rPr>
          <w:rFonts w:asciiTheme="majorHAnsi" w:hAnsiTheme="majorHAnsi" w:cstheme="majorHAnsi"/>
          <w:sz w:val="20"/>
          <w:szCs w:val="22"/>
        </w:rPr>
      </w:pPr>
      <w:r>
        <w:rPr>
          <w:rFonts w:asciiTheme="majorHAnsi" w:hAnsiTheme="majorHAnsi" w:cstheme="majorHAnsi"/>
          <w:sz w:val="20"/>
          <w:szCs w:val="22"/>
        </w:rPr>
        <w:t>“</w:t>
      </w:r>
      <w:r w:rsidR="000E508C" w:rsidRPr="002E1339">
        <w:rPr>
          <w:rFonts w:asciiTheme="majorHAnsi" w:hAnsiTheme="majorHAnsi" w:cstheme="majorHAnsi"/>
          <w:sz w:val="20"/>
          <w:szCs w:val="22"/>
        </w:rPr>
        <w:t>The spike in lead levels in Flint, Mich., circa 2014 and the issues that plagued the city afterward wouldn’t have occurred if standard treatment practices had been applied and the state effectively enforced existing regulations. Although lead in water will remain a concern as long as lead-containing pipes and fittings and galvanized pipes are still in service, the average and peak BLLs in US children have drastically declined in the past 40 years, primarily as a result of eliminating lead in automobile gasoline, paint, food-can and water pipe solders, and millions of service lines, as well as reducing lead in brass water fixtures.</w:t>
      </w:r>
    </w:p>
    <w:p w14:paraId="157FBD8F" w14:textId="77777777" w:rsidR="001D0CD8" w:rsidRDefault="001D0CD8" w:rsidP="002E1339">
      <w:pPr>
        <w:pStyle w:val="Default"/>
        <w:rPr>
          <w:rFonts w:asciiTheme="majorHAnsi" w:hAnsiTheme="majorHAnsi" w:cstheme="majorHAnsi"/>
          <w:sz w:val="20"/>
          <w:szCs w:val="22"/>
        </w:rPr>
      </w:pPr>
    </w:p>
    <w:p w14:paraId="6FCACE2C" w14:textId="77777777" w:rsidR="00AB2D1F" w:rsidRPr="00E855CF" w:rsidRDefault="000E508C" w:rsidP="002E1339">
      <w:pPr>
        <w:pStyle w:val="Default"/>
        <w:rPr>
          <w:rFonts w:asciiTheme="majorHAnsi" w:hAnsiTheme="majorHAnsi" w:cstheme="majorHAnsi"/>
          <w:b/>
          <w:sz w:val="20"/>
          <w:szCs w:val="22"/>
        </w:rPr>
      </w:pPr>
      <w:r w:rsidRPr="002E1339">
        <w:rPr>
          <w:rFonts w:asciiTheme="majorHAnsi" w:hAnsiTheme="majorHAnsi" w:cstheme="majorHAnsi"/>
          <w:sz w:val="20"/>
          <w:szCs w:val="22"/>
        </w:rPr>
        <w:t>Between 1976 and 1980, average BLLs in US children aged six months to five years were about 16 μg/dL (μg per 100 cc of blood), according to the National Health and Nutrition Examination Survey (NHANES II). Further, the survey noted that 63.3% of BLLs were in the 10–19 μg/dL</w:t>
      </w:r>
      <w:r w:rsidR="00AB2D1F">
        <w:rPr>
          <w:rFonts w:asciiTheme="majorHAnsi" w:hAnsiTheme="majorHAnsi" w:cstheme="majorHAnsi"/>
          <w:sz w:val="20"/>
          <w:szCs w:val="22"/>
        </w:rPr>
        <w:t xml:space="preserve"> </w:t>
      </w:r>
      <w:r w:rsidR="002E1339" w:rsidRPr="002E1339">
        <w:rPr>
          <w:rFonts w:asciiTheme="majorHAnsi" w:hAnsiTheme="majorHAnsi" w:cstheme="majorHAnsi"/>
          <w:sz w:val="20"/>
          <w:szCs w:val="22"/>
        </w:rPr>
        <w:t xml:space="preserve">range, and 0.1% were in the 50–59 μg/dL range. The national mean values were down to 2.7 μg/dL by 1991 and to 1.9 μg/dL by 2002. </w:t>
      </w:r>
      <w:r w:rsidR="002E1339" w:rsidRPr="00E855CF">
        <w:rPr>
          <w:rFonts w:asciiTheme="majorHAnsi" w:hAnsiTheme="majorHAnsi" w:cstheme="majorHAnsi"/>
          <w:b/>
          <w:sz w:val="20"/>
          <w:szCs w:val="22"/>
        </w:rPr>
        <w:t>The mean in 2014 was 0.84 μg/dL, according to a study by Hernán Gómez and colleagues that appeared in the June 2018 issue of Pediatrics. Given this trend, it’s probably even lower today.</w:t>
      </w:r>
    </w:p>
    <w:p w14:paraId="0CBD91A2" w14:textId="77777777" w:rsidR="00AB2D1F" w:rsidRDefault="00AB2D1F" w:rsidP="002E1339">
      <w:pPr>
        <w:pStyle w:val="Default"/>
        <w:rPr>
          <w:rFonts w:asciiTheme="majorHAnsi" w:hAnsiTheme="majorHAnsi" w:cstheme="majorHAnsi"/>
          <w:sz w:val="20"/>
          <w:szCs w:val="22"/>
        </w:rPr>
      </w:pPr>
    </w:p>
    <w:p w14:paraId="32E8195D" w14:textId="6F00B62E" w:rsidR="002E1339" w:rsidRPr="002E1339" w:rsidRDefault="002E1339" w:rsidP="002E1339">
      <w:pPr>
        <w:pStyle w:val="Default"/>
        <w:rPr>
          <w:rFonts w:asciiTheme="majorHAnsi" w:hAnsiTheme="majorHAnsi" w:cstheme="majorHAnsi"/>
          <w:sz w:val="20"/>
          <w:szCs w:val="22"/>
        </w:rPr>
      </w:pPr>
      <w:r w:rsidRPr="002E1339">
        <w:rPr>
          <w:rFonts w:asciiTheme="majorHAnsi" w:hAnsiTheme="majorHAnsi" w:cstheme="majorHAnsi"/>
          <w:sz w:val="20"/>
          <w:szCs w:val="22"/>
        </w:rPr>
        <w:t xml:space="preserve">As of 2012, the Centers for Disease Control and Prevention (CDC) “reference” level for BLLs is 5 μg/dL, reduced from the prior 10 μg/dL “concern” level. </w:t>
      </w:r>
      <w:r w:rsidRPr="006F3ACD">
        <w:rPr>
          <w:rFonts w:asciiTheme="majorHAnsi" w:hAnsiTheme="majorHAnsi" w:cstheme="majorHAnsi"/>
          <w:b/>
          <w:sz w:val="20"/>
          <w:szCs w:val="22"/>
        </w:rPr>
        <w:t>The reference level is based on the 97.5th percentile of national BLLs in children being less than 5 μg/dL, at which point follow-up action is recommended to determine and eliminate the cause of any exceedance.</w:t>
      </w:r>
      <w:r w:rsidRPr="002E1339">
        <w:rPr>
          <w:rFonts w:asciiTheme="majorHAnsi" w:hAnsiTheme="majorHAnsi" w:cstheme="majorHAnsi"/>
          <w:sz w:val="20"/>
          <w:szCs w:val="22"/>
        </w:rPr>
        <w:t xml:space="preserve"> </w:t>
      </w:r>
      <w:r w:rsidRPr="006F3ACD">
        <w:rPr>
          <w:rFonts w:asciiTheme="majorHAnsi" w:hAnsiTheme="majorHAnsi" w:cstheme="majorHAnsi"/>
          <w:b/>
          <w:sz w:val="20"/>
          <w:szCs w:val="22"/>
        </w:rPr>
        <w:t>Subtle, but potentially reversible, IQ losses are suspected to potentially occur at levels about 5–10 μg/dL or perhaps lower, as discussed in a Mar. 22, 2016, PBS.org article by Ellen Ruppel Shell (https://to.pbs.org/2R946o8).</w:t>
      </w:r>
      <w:r w:rsidRPr="002E1339">
        <w:rPr>
          <w:rFonts w:asciiTheme="majorHAnsi" w:hAnsiTheme="majorHAnsi" w:cstheme="majorHAnsi"/>
          <w:sz w:val="20"/>
          <w:szCs w:val="22"/>
        </w:rPr>
        <w:t xml:space="preserve"> CDC recommends that chelation therapy for lead poisoning be considered if BLLs exceed 45 μg/dL. Mental developmental deficits can occur at considerably lower concentrations.</w:t>
      </w:r>
      <w:r w:rsidR="00087E23">
        <w:rPr>
          <w:rFonts w:asciiTheme="majorHAnsi" w:hAnsiTheme="majorHAnsi" w:cstheme="majorHAnsi"/>
          <w:sz w:val="20"/>
          <w:szCs w:val="22"/>
        </w:rPr>
        <w:t>”</w:t>
      </w:r>
    </w:p>
    <w:p w14:paraId="1D96512C" w14:textId="6E866F0A" w:rsidR="007E5E7D" w:rsidRDefault="007E5E7D" w:rsidP="002E1339">
      <w:pPr>
        <w:pStyle w:val="Default"/>
        <w:rPr>
          <w:rFonts w:asciiTheme="majorHAnsi" w:hAnsiTheme="majorHAnsi" w:cstheme="majorHAnsi"/>
          <w:sz w:val="20"/>
          <w:szCs w:val="22"/>
        </w:rPr>
      </w:pPr>
    </w:p>
    <w:p w14:paraId="365EBFF4" w14:textId="6BF6CE14" w:rsidR="00494C7E" w:rsidRDefault="00494C7E">
      <w:pPr>
        <w:rPr>
          <w:rFonts w:asciiTheme="majorHAnsi" w:hAnsiTheme="majorHAnsi" w:cstheme="majorHAnsi"/>
          <w:color w:val="000000"/>
          <w:sz w:val="20"/>
        </w:rPr>
      </w:pPr>
      <w:r>
        <w:rPr>
          <w:rFonts w:asciiTheme="majorHAnsi" w:hAnsiTheme="majorHAnsi" w:cstheme="majorHAnsi"/>
          <w:sz w:val="20"/>
        </w:rPr>
        <w:br w:type="page"/>
      </w:r>
    </w:p>
    <w:p w14:paraId="1C0B076B" w14:textId="41976865" w:rsidR="004D31DB" w:rsidRDefault="007D45DA" w:rsidP="00882C94">
      <w:pPr>
        <w:spacing w:after="0"/>
        <w:jc w:val="center"/>
        <w:rPr>
          <w:rStyle w:val="num"/>
          <w:rFonts w:asciiTheme="majorHAnsi" w:hAnsiTheme="majorHAnsi" w:cstheme="majorHAnsi"/>
          <w:bCs/>
          <w:color w:val="000000" w:themeColor="text1"/>
          <w:shd w:val="clear" w:color="auto" w:fill="FFFFFF"/>
        </w:rPr>
      </w:pPr>
      <w:r>
        <w:rPr>
          <w:rStyle w:val="num"/>
          <w:rFonts w:asciiTheme="majorHAnsi" w:hAnsiTheme="majorHAnsi" w:cstheme="majorHAnsi"/>
          <w:bCs/>
          <w:color w:val="000000" w:themeColor="text1"/>
          <w:shd w:val="clear" w:color="auto" w:fill="FFFFFF"/>
        </w:rPr>
        <w:lastRenderedPageBreak/>
        <w:t>Excerpt from</w:t>
      </w:r>
    </w:p>
    <w:p w14:paraId="688CB278" w14:textId="4824A5F9" w:rsidR="00882C94" w:rsidRPr="00882C94" w:rsidRDefault="00882C94" w:rsidP="00882C94">
      <w:pPr>
        <w:spacing w:after="0"/>
        <w:jc w:val="center"/>
        <w:rPr>
          <w:rStyle w:val="num"/>
          <w:rFonts w:asciiTheme="majorHAnsi" w:hAnsiTheme="majorHAnsi" w:cstheme="majorHAnsi"/>
          <w:b/>
          <w:bCs/>
          <w:color w:val="000000" w:themeColor="text1"/>
          <w:shd w:val="clear" w:color="auto" w:fill="FFFFFF"/>
        </w:rPr>
      </w:pPr>
      <w:r w:rsidRPr="00882C94">
        <w:rPr>
          <w:rStyle w:val="num"/>
          <w:rFonts w:asciiTheme="majorHAnsi" w:hAnsiTheme="majorHAnsi" w:cstheme="majorHAnsi"/>
          <w:b/>
          <w:bCs/>
          <w:color w:val="000000" w:themeColor="text1"/>
          <w:shd w:val="clear" w:color="auto" w:fill="FFFFFF"/>
        </w:rPr>
        <w:t>CODE OF FEDERAL REGULATIONS</w:t>
      </w:r>
    </w:p>
    <w:p w14:paraId="4CE43BD6" w14:textId="12B55E56" w:rsidR="007D45DA" w:rsidRPr="00882C94" w:rsidRDefault="007D45DA" w:rsidP="00882C94">
      <w:pPr>
        <w:jc w:val="center"/>
        <w:rPr>
          <w:rStyle w:val="num"/>
          <w:rFonts w:asciiTheme="majorHAnsi" w:hAnsiTheme="majorHAnsi" w:cstheme="majorHAnsi"/>
          <w:bCs/>
          <w:color w:val="000000" w:themeColor="text1"/>
          <w:shd w:val="clear" w:color="auto" w:fill="FFFFFF"/>
        </w:rPr>
      </w:pPr>
      <w:r w:rsidRPr="00882C94">
        <w:rPr>
          <w:rStyle w:val="num"/>
          <w:rFonts w:asciiTheme="majorHAnsi" w:hAnsiTheme="majorHAnsi" w:cstheme="majorHAnsi"/>
          <w:bCs/>
          <w:color w:val="000000" w:themeColor="text1"/>
          <w:shd w:val="clear" w:color="auto" w:fill="FFFFFF"/>
        </w:rPr>
        <w:t>(</w:t>
      </w:r>
      <w:hyperlink r:id="rId11" w:anchor="a" w:history="1">
        <w:r w:rsidR="0081251D" w:rsidRPr="00882C94">
          <w:rPr>
            <w:rStyle w:val="Hyperlink"/>
            <w:rFonts w:asciiTheme="majorHAnsi" w:hAnsiTheme="majorHAnsi" w:cstheme="majorHAnsi"/>
          </w:rPr>
          <w:t>https://www.law.cornell.edu/cfr/text/40/141.86#a</w:t>
        </w:r>
      </w:hyperlink>
      <w:r w:rsidRPr="00882C94">
        <w:rPr>
          <w:rStyle w:val="num"/>
          <w:rFonts w:asciiTheme="majorHAnsi" w:hAnsiTheme="majorHAnsi" w:cstheme="majorHAnsi"/>
          <w:bCs/>
          <w:color w:val="000000" w:themeColor="text1"/>
          <w:shd w:val="clear" w:color="auto" w:fill="FFFFFF"/>
        </w:rPr>
        <w:t>)</w:t>
      </w:r>
    </w:p>
    <w:p w14:paraId="30AA5625" w14:textId="4016120B" w:rsidR="001A756E" w:rsidRPr="00882C94" w:rsidRDefault="001A756E">
      <w:pPr>
        <w:rPr>
          <w:rStyle w:val="num"/>
          <w:rFonts w:asciiTheme="majorHAnsi" w:hAnsiTheme="majorHAnsi" w:cstheme="majorHAnsi"/>
          <w:b/>
          <w:bCs/>
          <w:color w:val="000000" w:themeColor="text1"/>
          <w:sz w:val="20"/>
          <w:shd w:val="clear" w:color="auto" w:fill="FFFFFF"/>
        </w:rPr>
      </w:pPr>
      <w:r w:rsidRPr="00882C94">
        <w:rPr>
          <w:rStyle w:val="num"/>
          <w:rFonts w:asciiTheme="majorHAnsi" w:hAnsiTheme="majorHAnsi" w:cstheme="majorHAnsi"/>
          <w:b/>
          <w:bCs/>
          <w:color w:val="000000" w:themeColor="text1"/>
          <w:sz w:val="20"/>
          <w:shd w:val="clear" w:color="auto" w:fill="FFFFFF"/>
        </w:rPr>
        <w:t>§ 141.84 Lead service line replacement requirements.</w:t>
      </w:r>
    </w:p>
    <w:p w14:paraId="59F999F2" w14:textId="77777777" w:rsidR="0065471E" w:rsidRPr="00882C94" w:rsidRDefault="0065471E" w:rsidP="0065471E">
      <w:pPr>
        <w:pStyle w:val="psection-1"/>
        <w:shd w:val="clear" w:color="auto" w:fill="FFFFFF"/>
        <w:spacing w:before="150" w:beforeAutospacing="0" w:after="150" w:afterAutospacing="0"/>
        <w:rPr>
          <w:rFonts w:asciiTheme="majorHAnsi" w:hAnsiTheme="majorHAnsi" w:cstheme="majorHAnsi"/>
          <w:color w:val="333333"/>
          <w:sz w:val="20"/>
          <w:szCs w:val="22"/>
        </w:rPr>
      </w:pPr>
      <w:r w:rsidRPr="00882C94">
        <w:rPr>
          <w:rStyle w:val="enumxml"/>
          <w:rFonts w:asciiTheme="majorHAnsi" w:hAnsiTheme="majorHAnsi" w:cstheme="majorHAnsi"/>
          <w:b/>
          <w:bCs/>
          <w:color w:val="333333"/>
          <w:sz w:val="20"/>
          <w:szCs w:val="22"/>
        </w:rPr>
        <w:t>(b)</w:t>
      </w:r>
    </w:p>
    <w:p w14:paraId="5793B35A" w14:textId="2BBE4502" w:rsidR="0065471E" w:rsidRPr="00882C94" w:rsidRDefault="0065471E" w:rsidP="0065471E">
      <w:pPr>
        <w:pStyle w:val="psection-2"/>
        <w:shd w:val="clear" w:color="auto" w:fill="FFFFFF"/>
        <w:spacing w:before="0" w:beforeAutospacing="0" w:after="150" w:afterAutospacing="0"/>
        <w:ind w:left="240"/>
        <w:rPr>
          <w:rFonts w:asciiTheme="majorHAnsi" w:hAnsiTheme="majorHAnsi" w:cstheme="majorHAnsi"/>
          <w:color w:val="333333"/>
          <w:sz w:val="20"/>
          <w:szCs w:val="22"/>
        </w:rPr>
      </w:pPr>
      <w:r w:rsidRPr="00882C94">
        <w:rPr>
          <w:rStyle w:val="enumxml"/>
          <w:rFonts w:asciiTheme="majorHAnsi" w:hAnsiTheme="majorHAnsi" w:cstheme="majorHAnsi"/>
          <w:b/>
          <w:bCs/>
          <w:color w:val="333333"/>
          <w:sz w:val="20"/>
          <w:szCs w:val="22"/>
        </w:rPr>
        <w:t>(1)</w:t>
      </w:r>
      <w:r w:rsidRPr="00882C94">
        <w:rPr>
          <w:rFonts w:asciiTheme="majorHAnsi" w:hAnsiTheme="majorHAnsi" w:cstheme="majorHAnsi"/>
          <w:color w:val="333333"/>
          <w:sz w:val="20"/>
          <w:szCs w:val="22"/>
        </w:rPr>
        <w:t> A water system shall replace annually at least 7 percent of the initial number of </w:t>
      </w:r>
      <w:hyperlink r:id="rId12" w:history="1">
        <w:r w:rsidRPr="00882C94">
          <w:rPr>
            <w:rStyle w:val="Hyperlink"/>
            <w:rFonts w:asciiTheme="majorHAnsi" w:hAnsiTheme="majorHAnsi" w:cstheme="majorHAnsi"/>
            <w:color w:val="337AB7"/>
            <w:sz w:val="20"/>
            <w:szCs w:val="22"/>
          </w:rPr>
          <w:t>lead service lines</w:t>
        </w:r>
      </w:hyperlink>
      <w:r w:rsidRPr="00882C94">
        <w:rPr>
          <w:rFonts w:asciiTheme="majorHAnsi" w:hAnsiTheme="majorHAnsi" w:cstheme="majorHAnsi"/>
          <w:color w:val="333333"/>
          <w:sz w:val="20"/>
          <w:szCs w:val="22"/>
        </w:rPr>
        <w:t> in its distribution system. The initial number of </w:t>
      </w:r>
      <w:hyperlink r:id="rId13" w:history="1">
        <w:r w:rsidRPr="00882C94">
          <w:rPr>
            <w:rStyle w:val="Hyperlink"/>
            <w:rFonts w:asciiTheme="majorHAnsi" w:hAnsiTheme="majorHAnsi" w:cstheme="majorHAnsi"/>
            <w:color w:val="337AB7"/>
            <w:sz w:val="20"/>
            <w:szCs w:val="22"/>
          </w:rPr>
          <w:t>lead service lines</w:t>
        </w:r>
      </w:hyperlink>
      <w:r w:rsidRPr="00882C94">
        <w:rPr>
          <w:rFonts w:asciiTheme="majorHAnsi" w:hAnsiTheme="majorHAnsi" w:cstheme="majorHAnsi"/>
          <w:color w:val="333333"/>
          <w:sz w:val="20"/>
          <w:szCs w:val="22"/>
        </w:rPr>
        <w:t> is the number of lead lines in place at the time the replacement program begins</w:t>
      </w:r>
      <w:r w:rsidRPr="00882C94">
        <w:rPr>
          <w:rFonts w:asciiTheme="majorHAnsi" w:hAnsiTheme="majorHAnsi" w:cstheme="majorHAnsi"/>
          <w:b/>
          <w:color w:val="333333"/>
          <w:sz w:val="20"/>
          <w:szCs w:val="22"/>
        </w:rPr>
        <w:t>. The system shall identify the initial number of </w:t>
      </w:r>
      <w:hyperlink r:id="rId14" w:history="1">
        <w:r w:rsidRPr="00882C94">
          <w:rPr>
            <w:rStyle w:val="Hyperlink"/>
            <w:rFonts w:asciiTheme="majorHAnsi" w:hAnsiTheme="majorHAnsi" w:cstheme="majorHAnsi"/>
            <w:b/>
            <w:color w:val="337AB7"/>
            <w:sz w:val="20"/>
            <w:szCs w:val="22"/>
          </w:rPr>
          <w:t>lead service lines</w:t>
        </w:r>
      </w:hyperlink>
      <w:r w:rsidRPr="00882C94">
        <w:rPr>
          <w:rFonts w:asciiTheme="majorHAnsi" w:hAnsiTheme="majorHAnsi" w:cstheme="majorHAnsi"/>
          <w:b/>
          <w:color w:val="333333"/>
          <w:sz w:val="20"/>
          <w:szCs w:val="22"/>
        </w:rPr>
        <w:t> in its distribution system, including an identification of the portion(s) owned by the system, based on a materials evaluation, including the evaluation required under </w:t>
      </w:r>
      <w:hyperlink r:id="rId15" w:anchor="a" w:history="1">
        <w:r w:rsidRPr="00882C94">
          <w:rPr>
            <w:rStyle w:val="Hyperlink"/>
            <w:rFonts w:asciiTheme="majorHAnsi" w:hAnsiTheme="majorHAnsi" w:cstheme="majorHAnsi"/>
            <w:b/>
            <w:color w:val="337AB7"/>
            <w:sz w:val="20"/>
            <w:szCs w:val="22"/>
          </w:rPr>
          <w:t>§ 141.86(a)</w:t>
        </w:r>
      </w:hyperlink>
      <w:r w:rsidRPr="00882C94">
        <w:rPr>
          <w:rFonts w:asciiTheme="majorHAnsi" w:hAnsiTheme="majorHAnsi" w:cstheme="majorHAnsi"/>
          <w:b/>
          <w:color w:val="333333"/>
          <w:sz w:val="20"/>
          <w:szCs w:val="22"/>
        </w:rPr>
        <w:t> and relevant legal authorities (e.g., contracts, local ordinances) regarding the portion owned by the system.</w:t>
      </w:r>
      <w:r w:rsidRPr="00882C94">
        <w:rPr>
          <w:rFonts w:asciiTheme="majorHAnsi" w:hAnsiTheme="majorHAnsi" w:cstheme="majorHAnsi"/>
          <w:color w:val="333333"/>
          <w:sz w:val="20"/>
          <w:szCs w:val="22"/>
        </w:rPr>
        <w:t xml:space="preserve"> The first year of </w:t>
      </w:r>
      <w:hyperlink r:id="rId16" w:history="1">
        <w:r w:rsidRPr="00882C94">
          <w:rPr>
            <w:rStyle w:val="Hyperlink"/>
            <w:rFonts w:asciiTheme="majorHAnsi" w:hAnsiTheme="majorHAnsi" w:cstheme="majorHAnsi"/>
            <w:color w:val="337AB7"/>
            <w:sz w:val="20"/>
            <w:szCs w:val="22"/>
          </w:rPr>
          <w:t>lead service line</w:t>
        </w:r>
      </w:hyperlink>
      <w:r w:rsidRPr="00882C94">
        <w:rPr>
          <w:rFonts w:asciiTheme="majorHAnsi" w:hAnsiTheme="majorHAnsi" w:cstheme="majorHAnsi"/>
          <w:color w:val="333333"/>
          <w:sz w:val="20"/>
          <w:szCs w:val="22"/>
        </w:rPr>
        <w:t> replacement shall begin on the first day following the end of the monitoring period in which the </w:t>
      </w:r>
      <w:hyperlink r:id="rId17" w:history="1">
        <w:r w:rsidRPr="00882C94">
          <w:rPr>
            <w:rStyle w:val="Hyperlink"/>
            <w:rFonts w:asciiTheme="majorHAnsi" w:hAnsiTheme="majorHAnsi" w:cstheme="majorHAnsi"/>
            <w:color w:val="337AB7"/>
            <w:sz w:val="20"/>
            <w:szCs w:val="22"/>
          </w:rPr>
          <w:t>action level</w:t>
        </w:r>
      </w:hyperlink>
      <w:r w:rsidRPr="00882C94">
        <w:rPr>
          <w:rFonts w:asciiTheme="majorHAnsi" w:hAnsiTheme="majorHAnsi" w:cstheme="majorHAnsi"/>
          <w:color w:val="333333"/>
          <w:sz w:val="20"/>
          <w:szCs w:val="22"/>
        </w:rPr>
        <w:t> was exceeded under </w:t>
      </w:r>
      <w:hyperlink r:id="rId18" w:anchor="a" w:history="1">
        <w:r w:rsidRPr="00882C94">
          <w:rPr>
            <w:rStyle w:val="Hyperlink"/>
            <w:rFonts w:asciiTheme="majorHAnsi" w:hAnsiTheme="majorHAnsi" w:cstheme="majorHAnsi"/>
            <w:color w:val="337AB7"/>
            <w:sz w:val="20"/>
            <w:szCs w:val="22"/>
          </w:rPr>
          <w:t>paragraph (a)</w:t>
        </w:r>
      </w:hyperlink>
      <w:r w:rsidRPr="00882C94">
        <w:rPr>
          <w:rFonts w:asciiTheme="majorHAnsi" w:hAnsiTheme="majorHAnsi" w:cstheme="majorHAnsi"/>
          <w:color w:val="333333"/>
          <w:sz w:val="20"/>
          <w:szCs w:val="22"/>
        </w:rPr>
        <w:t> of this section. If monitoring is required annually or less frequently, the end of the monitoring period is September 30 of the calendar year in which the sampling occurs. If the </w:t>
      </w:r>
      <w:hyperlink r:id="rId19" w:history="1">
        <w:r w:rsidRPr="00882C94">
          <w:rPr>
            <w:rStyle w:val="Hyperlink"/>
            <w:rFonts w:asciiTheme="majorHAnsi" w:hAnsiTheme="majorHAnsi" w:cstheme="majorHAnsi"/>
            <w:color w:val="337AB7"/>
            <w:sz w:val="20"/>
            <w:szCs w:val="22"/>
          </w:rPr>
          <w:t>State</w:t>
        </w:r>
      </w:hyperlink>
      <w:r w:rsidRPr="00882C94">
        <w:rPr>
          <w:rFonts w:asciiTheme="majorHAnsi" w:hAnsiTheme="majorHAnsi" w:cstheme="majorHAnsi"/>
          <w:color w:val="333333"/>
          <w:sz w:val="20"/>
          <w:szCs w:val="22"/>
        </w:rPr>
        <w:t> has established an alternate monitoring period, then the end of the monitoring period will be the last day of that period.</w:t>
      </w:r>
    </w:p>
    <w:p w14:paraId="29BF0125" w14:textId="39B7D003" w:rsidR="001A756E" w:rsidRPr="00882C94" w:rsidRDefault="000C00E9">
      <w:pPr>
        <w:rPr>
          <w:rStyle w:val="num"/>
          <w:rFonts w:asciiTheme="majorHAnsi" w:hAnsiTheme="majorHAnsi" w:cstheme="majorHAnsi"/>
          <w:bCs/>
          <w:color w:val="000000" w:themeColor="text1"/>
          <w:sz w:val="20"/>
          <w:shd w:val="clear" w:color="auto" w:fill="FFFFFF"/>
        </w:rPr>
      </w:pPr>
      <w:r w:rsidRPr="00882C94">
        <w:rPr>
          <w:rStyle w:val="num"/>
          <w:rFonts w:asciiTheme="majorHAnsi" w:hAnsiTheme="majorHAnsi" w:cstheme="majorHAnsi"/>
          <w:bCs/>
          <w:color w:val="000000" w:themeColor="text1"/>
          <w:sz w:val="20"/>
          <w:shd w:val="clear" w:color="auto" w:fill="FFFFFF"/>
        </w:rPr>
        <w:t>[referenced section § 141.86(a)</w:t>
      </w:r>
    </w:p>
    <w:p w14:paraId="5F278218" w14:textId="77777777" w:rsidR="00101CA8" w:rsidRPr="00882C94" w:rsidRDefault="00101CA8" w:rsidP="00101CA8">
      <w:pPr>
        <w:rPr>
          <w:rStyle w:val="num"/>
          <w:rFonts w:asciiTheme="majorHAnsi" w:hAnsiTheme="majorHAnsi" w:cstheme="majorHAnsi"/>
          <w:bCs/>
          <w:color w:val="000000" w:themeColor="text1"/>
          <w:sz w:val="20"/>
          <w:shd w:val="clear" w:color="auto" w:fill="FFFFFF"/>
        </w:rPr>
      </w:pPr>
      <w:r w:rsidRPr="00882C94">
        <w:rPr>
          <w:rStyle w:val="num"/>
          <w:rFonts w:asciiTheme="majorHAnsi" w:hAnsiTheme="majorHAnsi" w:cstheme="majorHAnsi"/>
          <w:bCs/>
          <w:color w:val="000000" w:themeColor="text1"/>
          <w:sz w:val="20"/>
          <w:shd w:val="clear" w:color="auto" w:fill="FFFFFF"/>
        </w:rPr>
        <w:t>§ 141.86 Monitoring requirements for lead and copper in tap water.</w:t>
      </w:r>
    </w:p>
    <w:p w14:paraId="2D54A359" w14:textId="3FAABFC3" w:rsidR="00101CA8" w:rsidRPr="00882C94" w:rsidRDefault="00101CA8" w:rsidP="00101CA8">
      <w:pPr>
        <w:rPr>
          <w:rStyle w:val="num"/>
          <w:rFonts w:asciiTheme="majorHAnsi" w:hAnsiTheme="majorHAnsi" w:cstheme="majorHAnsi"/>
          <w:bCs/>
          <w:color w:val="000000" w:themeColor="text1"/>
          <w:sz w:val="20"/>
          <w:shd w:val="clear" w:color="auto" w:fill="FFFFFF"/>
        </w:rPr>
      </w:pPr>
      <w:r w:rsidRPr="00882C94">
        <w:rPr>
          <w:rStyle w:val="num"/>
          <w:rFonts w:asciiTheme="majorHAnsi" w:hAnsiTheme="majorHAnsi" w:cstheme="majorHAnsi"/>
          <w:bCs/>
          <w:color w:val="000000" w:themeColor="text1"/>
          <w:sz w:val="20"/>
          <w:shd w:val="clear" w:color="auto" w:fill="FFFFFF"/>
        </w:rPr>
        <w:t>(a)Sample site location.</w:t>
      </w:r>
    </w:p>
    <w:p w14:paraId="148B5FA7" w14:textId="51BC9856" w:rsidR="00101CA8" w:rsidRPr="00882C94" w:rsidRDefault="00101CA8" w:rsidP="00101CA8">
      <w:pPr>
        <w:rPr>
          <w:rStyle w:val="num"/>
          <w:rFonts w:asciiTheme="majorHAnsi" w:hAnsiTheme="majorHAnsi" w:cstheme="majorHAnsi"/>
          <w:bCs/>
          <w:color w:val="000000" w:themeColor="text1"/>
          <w:sz w:val="20"/>
          <w:shd w:val="clear" w:color="auto" w:fill="FFFFFF"/>
        </w:rPr>
      </w:pPr>
      <w:r w:rsidRPr="00882C94">
        <w:rPr>
          <w:rStyle w:val="num"/>
          <w:rFonts w:asciiTheme="majorHAnsi" w:hAnsiTheme="majorHAnsi" w:cstheme="majorHAnsi"/>
          <w:bCs/>
          <w:color w:val="000000" w:themeColor="text1"/>
          <w:sz w:val="20"/>
          <w:shd w:val="clear" w:color="auto" w:fill="FFFFFF"/>
        </w:rPr>
        <w:t>…</w:t>
      </w:r>
    </w:p>
    <w:p w14:paraId="46D9614A" w14:textId="77777777" w:rsidR="007D45DA" w:rsidRPr="00882C94" w:rsidRDefault="007D45DA" w:rsidP="007D45DA">
      <w:pPr>
        <w:pStyle w:val="psection-2"/>
        <w:shd w:val="clear" w:color="auto" w:fill="FFFFFF"/>
        <w:spacing w:before="0" w:beforeAutospacing="0" w:after="150" w:afterAutospacing="0"/>
        <w:ind w:left="240"/>
        <w:rPr>
          <w:rFonts w:asciiTheme="majorHAnsi" w:hAnsiTheme="majorHAnsi" w:cstheme="majorHAnsi"/>
          <w:color w:val="333333"/>
          <w:sz w:val="20"/>
          <w:szCs w:val="22"/>
        </w:rPr>
      </w:pPr>
      <w:r w:rsidRPr="00882C94">
        <w:rPr>
          <w:rStyle w:val="enumxml"/>
          <w:rFonts w:asciiTheme="majorHAnsi" w:hAnsiTheme="majorHAnsi" w:cstheme="majorHAnsi"/>
          <w:b/>
          <w:bCs/>
          <w:color w:val="333333"/>
          <w:sz w:val="20"/>
          <w:szCs w:val="22"/>
        </w:rPr>
        <w:t>(2)</w:t>
      </w:r>
      <w:r w:rsidRPr="00882C94">
        <w:rPr>
          <w:rFonts w:asciiTheme="majorHAnsi" w:hAnsiTheme="majorHAnsi" w:cstheme="majorHAnsi"/>
          <w:color w:val="333333"/>
          <w:sz w:val="20"/>
          <w:szCs w:val="22"/>
        </w:rPr>
        <w:t> A water system shall use the information on lead, copper, and galvanized steel that it is required to collect under </w:t>
      </w:r>
      <w:hyperlink r:id="rId20" w:anchor="d" w:history="1">
        <w:r w:rsidRPr="00882C94">
          <w:rPr>
            <w:rStyle w:val="Hyperlink"/>
            <w:rFonts w:asciiTheme="majorHAnsi" w:hAnsiTheme="majorHAnsi" w:cstheme="majorHAnsi"/>
            <w:color w:val="337AB7"/>
            <w:sz w:val="20"/>
            <w:szCs w:val="22"/>
          </w:rPr>
          <w:t>§ 141.42(d)</w:t>
        </w:r>
      </w:hyperlink>
      <w:r w:rsidRPr="00882C94">
        <w:rPr>
          <w:rFonts w:asciiTheme="majorHAnsi" w:hAnsiTheme="majorHAnsi" w:cstheme="majorHAnsi"/>
          <w:color w:val="333333"/>
          <w:sz w:val="20"/>
          <w:szCs w:val="22"/>
        </w:rPr>
        <w:t xml:space="preserve"> of this part [special monitoring for corrosivity characteristics] when conducting a materials evaluation. When an evaluation of the information collected pursuant to § 141.42(d) is insufficient to locate the requisite number of lead and copper sampling sites that meet the targeting criteria in paragraph (a) of this section, </w:t>
      </w:r>
      <w:r w:rsidRPr="00882C94">
        <w:rPr>
          <w:rFonts w:asciiTheme="majorHAnsi" w:hAnsiTheme="majorHAnsi" w:cstheme="majorHAnsi"/>
          <w:b/>
          <w:color w:val="333333"/>
          <w:sz w:val="20"/>
          <w:szCs w:val="22"/>
        </w:rPr>
        <w:t>the water system shall review the sources of information listed below in order to identify a sufficient number of sampling sites. In addition, the system shall seek to collect such information where possible in the course of its normal operations (e.g., checking service line materials when reading water meters or performing maintenance activities):</w:t>
      </w:r>
    </w:p>
    <w:p w14:paraId="1C763631" w14:textId="77777777" w:rsidR="007D45DA" w:rsidRPr="00882C94" w:rsidRDefault="007D45DA" w:rsidP="007D45DA">
      <w:pPr>
        <w:pStyle w:val="psection-3"/>
        <w:shd w:val="clear" w:color="auto" w:fill="FFFFFF"/>
        <w:spacing w:before="0" w:beforeAutospacing="0" w:after="150" w:afterAutospacing="0"/>
        <w:ind w:left="480"/>
        <w:rPr>
          <w:rFonts w:asciiTheme="majorHAnsi" w:hAnsiTheme="majorHAnsi" w:cstheme="majorHAnsi"/>
          <w:color w:val="333333"/>
          <w:sz w:val="20"/>
          <w:szCs w:val="22"/>
        </w:rPr>
      </w:pPr>
      <w:r w:rsidRPr="00882C94">
        <w:rPr>
          <w:rStyle w:val="enumxml"/>
          <w:rFonts w:asciiTheme="majorHAnsi" w:hAnsiTheme="majorHAnsi" w:cstheme="majorHAnsi"/>
          <w:b/>
          <w:bCs/>
          <w:color w:val="333333"/>
          <w:sz w:val="20"/>
          <w:szCs w:val="22"/>
        </w:rPr>
        <w:t>(i)</w:t>
      </w:r>
      <w:r w:rsidRPr="00882C94">
        <w:rPr>
          <w:rFonts w:asciiTheme="majorHAnsi" w:hAnsiTheme="majorHAnsi" w:cstheme="majorHAnsi"/>
          <w:color w:val="333333"/>
          <w:sz w:val="20"/>
          <w:szCs w:val="22"/>
        </w:rPr>
        <w:t> </w:t>
      </w:r>
      <w:r w:rsidRPr="00882C94">
        <w:rPr>
          <w:rFonts w:asciiTheme="majorHAnsi" w:hAnsiTheme="majorHAnsi" w:cstheme="majorHAnsi"/>
          <w:b/>
          <w:color w:val="333333"/>
          <w:sz w:val="20"/>
          <w:szCs w:val="22"/>
        </w:rPr>
        <w:t>All plumbing codes, permits, and records in the files of the building department(s) which indicate the plumbing materials that are installed</w:t>
      </w:r>
      <w:r w:rsidRPr="00882C94">
        <w:rPr>
          <w:rFonts w:asciiTheme="majorHAnsi" w:hAnsiTheme="majorHAnsi" w:cstheme="majorHAnsi"/>
          <w:color w:val="333333"/>
          <w:sz w:val="20"/>
          <w:szCs w:val="22"/>
        </w:rPr>
        <w:t xml:space="preserve"> within publicly and privately owned structures connected to the distribution system;</w:t>
      </w:r>
    </w:p>
    <w:p w14:paraId="7E09B543" w14:textId="77777777" w:rsidR="007D45DA" w:rsidRPr="00882C94" w:rsidRDefault="007D45DA" w:rsidP="007D45DA">
      <w:pPr>
        <w:pStyle w:val="psection-3"/>
        <w:shd w:val="clear" w:color="auto" w:fill="FFFFFF"/>
        <w:spacing w:before="0" w:beforeAutospacing="0" w:after="150" w:afterAutospacing="0"/>
        <w:ind w:left="480"/>
        <w:rPr>
          <w:rFonts w:asciiTheme="majorHAnsi" w:hAnsiTheme="majorHAnsi" w:cstheme="majorHAnsi"/>
          <w:color w:val="333333"/>
          <w:sz w:val="20"/>
          <w:szCs w:val="22"/>
        </w:rPr>
      </w:pPr>
      <w:r w:rsidRPr="00882C94">
        <w:rPr>
          <w:rStyle w:val="enumxml"/>
          <w:rFonts w:asciiTheme="majorHAnsi" w:hAnsiTheme="majorHAnsi" w:cstheme="majorHAnsi"/>
          <w:b/>
          <w:bCs/>
          <w:color w:val="333333"/>
          <w:sz w:val="20"/>
          <w:szCs w:val="22"/>
        </w:rPr>
        <w:t>(ii)</w:t>
      </w:r>
      <w:r w:rsidRPr="00882C94">
        <w:rPr>
          <w:rFonts w:asciiTheme="majorHAnsi" w:hAnsiTheme="majorHAnsi" w:cstheme="majorHAnsi"/>
          <w:color w:val="333333"/>
          <w:sz w:val="20"/>
          <w:szCs w:val="22"/>
        </w:rPr>
        <w:t> </w:t>
      </w:r>
      <w:r w:rsidRPr="00882C94">
        <w:rPr>
          <w:rFonts w:asciiTheme="majorHAnsi" w:hAnsiTheme="majorHAnsi" w:cstheme="majorHAnsi"/>
          <w:b/>
          <w:color w:val="333333"/>
          <w:sz w:val="20"/>
          <w:szCs w:val="22"/>
        </w:rPr>
        <w:t>All inspections and records of the distribution system that indicate the material composition of the </w:t>
      </w:r>
      <w:hyperlink r:id="rId21" w:history="1">
        <w:r w:rsidRPr="00882C94">
          <w:rPr>
            <w:rStyle w:val="Hyperlink"/>
            <w:rFonts w:asciiTheme="majorHAnsi" w:hAnsiTheme="majorHAnsi" w:cstheme="majorHAnsi"/>
            <w:b/>
            <w:color w:val="337AB7"/>
            <w:sz w:val="20"/>
            <w:szCs w:val="22"/>
          </w:rPr>
          <w:t>service connections</w:t>
        </w:r>
      </w:hyperlink>
      <w:r w:rsidRPr="00882C94">
        <w:rPr>
          <w:rFonts w:asciiTheme="majorHAnsi" w:hAnsiTheme="majorHAnsi" w:cstheme="majorHAnsi"/>
          <w:b/>
          <w:color w:val="333333"/>
          <w:sz w:val="20"/>
          <w:szCs w:val="22"/>
        </w:rPr>
        <w:t> that connect a structure to the distribution system</w:t>
      </w:r>
      <w:r w:rsidRPr="00882C94">
        <w:rPr>
          <w:rFonts w:asciiTheme="majorHAnsi" w:hAnsiTheme="majorHAnsi" w:cstheme="majorHAnsi"/>
          <w:color w:val="333333"/>
          <w:sz w:val="20"/>
          <w:szCs w:val="22"/>
        </w:rPr>
        <w:t>; and</w:t>
      </w:r>
    </w:p>
    <w:p w14:paraId="557BC5C6" w14:textId="77777777" w:rsidR="007D45DA" w:rsidRPr="00882C94" w:rsidRDefault="007D45DA" w:rsidP="007D45DA">
      <w:pPr>
        <w:pStyle w:val="psection-3"/>
        <w:shd w:val="clear" w:color="auto" w:fill="FFFFFF"/>
        <w:spacing w:before="0" w:beforeAutospacing="0" w:after="150" w:afterAutospacing="0"/>
        <w:ind w:left="480"/>
        <w:rPr>
          <w:rFonts w:asciiTheme="majorHAnsi" w:hAnsiTheme="majorHAnsi" w:cstheme="majorHAnsi"/>
          <w:color w:val="333333"/>
          <w:sz w:val="20"/>
          <w:szCs w:val="22"/>
        </w:rPr>
      </w:pPr>
      <w:r w:rsidRPr="00882C94">
        <w:rPr>
          <w:rStyle w:val="enumxml"/>
          <w:rFonts w:asciiTheme="majorHAnsi" w:hAnsiTheme="majorHAnsi" w:cstheme="majorHAnsi"/>
          <w:b/>
          <w:bCs/>
          <w:color w:val="333333"/>
          <w:sz w:val="20"/>
          <w:szCs w:val="22"/>
        </w:rPr>
        <w:t>(iii)</w:t>
      </w:r>
      <w:r w:rsidRPr="00882C94">
        <w:rPr>
          <w:rFonts w:asciiTheme="majorHAnsi" w:hAnsiTheme="majorHAnsi" w:cstheme="majorHAnsi"/>
          <w:color w:val="333333"/>
          <w:sz w:val="20"/>
          <w:szCs w:val="22"/>
        </w:rPr>
        <w:t> All existing water quality information, which includes the results of all prior analyses of the system or individual structures connected to the system, indicating locations that may be particularly susceptible to high lead or copper concentrations.</w:t>
      </w:r>
    </w:p>
    <w:p w14:paraId="76A2A049" w14:textId="5BF2E030" w:rsidR="00882C94" w:rsidRPr="00882C94" w:rsidRDefault="00882C94">
      <w:pPr>
        <w:rPr>
          <w:rStyle w:val="num"/>
          <w:rFonts w:asciiTheme="majorHAnsi" w:hAnsiTheme="majorHAnsi" w:cstheme="majorHAnsi"/>
          <w:bCs/>
          <w:color w:val="000000" w:themeColor="text1"/>
          <w:sz w:val="20"/>
          <w:shd w:val="clear" w:color="auto" w:fill="FFFFFF"/>
        </w:rPr>
      </w:pPr>
      <w:r w:rsidRPr="00882C94">
        <w:rPr>
          <w:rStyle w:val="num"/>
          <w:rFonts w:asciiTheme="majorHAnsi" w:hAnsiTheme="majorHAnsi" w:cstheme="majorHAnsi"/>
          <w:bCs/>
          <w:color w:val="000000" w:themeColor="text1"/>
          <w:sz w:val="20"/>
          <w:shd w:val="clear" w:color="auto" w:fill="FFFFFF"/>
        </w:rPr>
        <w:br w:type="page"/>
      </w:r>
    </w:p>
    <w:p w14:paraId="7F18389E" w14:textId="7E6819A3" w:rsidR="00197E20" w:rsidRPr="00197E20" w:rsidRDefault="00197E20" w:rsidP="00197E20">
      <w:pPr>
        <w:spacing w:after="0"/>
        <w:jc w:val="center"/>
        <w:rPr>
          <w:rStyle w:val="num"/>
          <w:rFonts w:asciiTheme="majorHAnsi" w:hAnsiTheme="majorHAnsi" w:cstheme="majorHAnsi"/>
          <w:bCs/>
          <w:color w:val="000000" w:themeColor="text1"/>
          <w:shd w:val="clear" w:color="auto" w:fill="FFFFFF"/>
        </w:rPr>
      </w:pPr>
      <w:r w:rsidRPr="00197E20">
        <w:rPr>
          <w:rStyle w:val="num"/>
          <w:rFonts w:asciiTheme="majorHAnsi" w:hAnsiTheme="majorHAnsi" w:cstheme="majorHAnsi"/>
          <w:bCs/>
          <w:color w:val="000000" w:themeColor="text1"/>
          <w:shd w:val="clear" w:color="auto" w:fill="FFFFFF"/>
        </w:rPr>
        <w:t xml:space="preserve">Excerpt from </w:t>
      </w:r>
    </w:p>
    <w:p w14:paraId="2FCC9110" w14:textId="363C74C7" w:rsidR="00686FED" w:rsidRDefault="00197E20" w:rsidP="00197E20">
      <w:pPr>
        <w:spacing w:after="0"/>
        <w:jc w:val="center"/>
        <w:rPr>
          <w:rStyle w:val="num"/>
          <w:rFonts w:asciiTheme="majorHAnsi" w:hAnsiTheme="majorHAnsi" w:cstheme="majorHAnsi"/>
          <w:b/>
          <w:bCs/>
          <w:color w:val="000000" w:themeColor="text1"/>
          <w:shd w:val="clear" w:color="auto" w:fill="FFFFFF"/>
        </w:rPr>
      </w:pPr>
      <w:r>
        <w:rPr>
          <w:rStyle w:val="num"/>
          <w:rFonts w:asciiTheme="majorHAnsi" w:hAnsiTheme="majorHAnsi" w:cstheme="majorHAnsi"/>
          <w:b/>
          <w:bCs/>
          <w:color w:val="000000" w:themeColor="text1"/>
          <w:shd w:val="clear" w:color="auto" w:fill="FFFFFF"/>
        </w:rPr>
        <w:t>UNITED STATES CODE AS AMENDED BY THE WIIN ACT OF 2018</w:t>
      </w:r>
    </w:p>
    <w:p w14:paraId="4858D467" w14:textId="4A7ADAB3" w:rsidR="00E10E1C" w:rsidRPr="00E10E1C" w:rsidRDefault="00E10E1C" w:rsidP="00197E20">
      <w:pPr>
        <w:spacing w:after="0"/>
        <w:jc w:val="center"/>
        <w:rPr>
          <w:rStyle w:val="num"/>
          <w:rFonts w:asciiTheme="majorHAnsi" w:hAnsiTheme="majorHAnsi" w:cstheme="majorHAnsi"/>
          <w:bCs/>
          <w:color w:val="000000" w:themeColor="text1"/>
          <w:shd w:val="clear" w:color="auto" w:fill="FFFFFF"/>
        </w:rPr>
      </w:pPr>
      <w:r w:rsidRPr="00E10E1C">
        <w:rPr>
          <w:rStyle w:val="num"/>
          <w:rFonts w:asciiTheme="majorHAnsi" w:hAnsiTheme="majorHAnsi" w:cstheme="majorHAnsi"/>
          <w:bCs/>
          <w:color w:val="000000" w:themeColor="text1"/>
          <w:shd w:val="clear" w:color="auto" w:fill="FFFFFF"/>
        </w:rPr>
        <w:t>(</w:t>
      </w:r>
      <w:hyperlink r:id="rId22" w:history="1">
        <w:r w:rsidRPr="00494C7E">
          <w:rPr>
            <w:rStyle w:val="Hyperlink"/>
            <w:rFonts w:asciiTheme="majorHAnsi" w:hAnsiTheme="majorHAnsi" w:cstheme="majorHAnsi"/>
          </w:rPr>
          <w:t>https://www.law.cornell.edu/uscode/text/42/300g-3</w:t>
        </w:r>
      </w:hyperlink>
      <w:r w:rsidRPr="00E10E1C">
        <w:rPr>
          <w:rStyle w:val="num"/>
          <w:rFonts w:asciiTheme="majorHAnsi" w:hAnsiTheme="majorHAnsi" w:cstheme="majorHAnsi"/>
          <w:bCs/>
          <w:color w:val="000000" w:themeColor="text1"/>
          <w:shd w:val="clear" w:color="auto" w:fill="FFFFFF"/>
        </w:rPr>
        <w:t>)</w:t>
      </w:r>
    </w:p>
    <w:p w14:paraId="0D721DC1" w14:textId="77777777" w:rsidR="00910E7F" w:rsidRDefault="00910E7F" w:rsidP="00910E7F">
      <w:pPr>
        <w:spacing w:after="0"/>
        <w:rPr>
          <w:rStyle w:val="num"/>
          <w:rFonts w:asciiTheme="majorHAnsi" w:hAnsiTheme="majorHAnsi" w:cstheme="majorHAnsi"/>
          <w:b/>
          <w:bCs/>
          <w:color w:val="000000" w:themeColor="text1"/>
          <w:shd w:val="clear" w:color="auto" w:fill="FFFFFF"/>
        </w:rPr>
      </w:pPr>
    </w:p>
    <w:p w14:paraId="0B96511A" w14:textId="793752F8" w:rsidR="00FE28D6" w:rsidRPr="00F21C46" w:rsidRDefault="00197E20" w:rsidP="00910E7F">
      <w:pPr>
        <w:spacing w:after="0"/>
        <w:rPr>
          <w:rStyle w:val="num"/>
          <w:rFonts w:asciiTheme="majorHAnsi" w:hAnsiTheme="majorHAnsi" w:cstheme="majorHAnsi"/>
          <w:b/>
          <w:bCs/>
          <w:color w:val="000000" w:themeColor="text1"/>
          <w:sz w:val="20"/>
          <w:shd w:val="clear" w:color="auto" w:fill="FFFFFF"/>
        </w:rPr>
      </w:pPr>
      <w:r w:rsidRPr="00F21C46">
        <w:rPr>
          <w:rStyle w:val="num"/>
          <w:rFonts w:asciiTheme="majorHAnsi" w:hAnsiTheme="majorHAnsi" w:cstheme="majorHAnsi"/>
          <w:b/>
          <w:bCs/>
          <w:color w:val="000000" w:themeColor="text1"/>
          <w:sz w:val="20"/>
          <w:shd w:val="clear" w:color="auto" w:fill="FFFFFF"/>
        </w:rPr>
        <w:t xml:space="preserve">42 USC 300G–3. </w:t>
      </w:r>
      <w:r w:rsidR="00910E7F" w:rsidRPr="00F21C46">
        <w:rPr>
          <w:rStyle w:val="num"/>
          <w:rFonts w:asciiTheme="majorHAnsi" w:hAnsiTheme="majorHAnsi" w:cstheme="majorHAnsi"/>
          <w:b/>
          <w:bCs/>
          <w:color w:val="000000" w:themeColor="text1"/>
          <w:sz w:val="20"/>
          <w:shd w:val="clear" w:color="auto" w:fill="FFFFFF"/>
        </w:rPr>
        <w:t>Enforcement of Drinking Water Regulations</w:t>
      </w:r>
    </w:p>
    <w:p w14:paraId="2FEA32B3" w14:textId="429367F0" w:rsidR="00686FED" w:rsidRPr="00F21C46" w:rsidRDefault="00686FED" w:rsidP="00494C7E">
      <w:pPr>
        <w:rPr>
          <w:rStyle w:val="num"/>
          <w:rFonts w:asciiTheme="majorHAnsi" w:hAnsiTheme="majorHAnsi" w:cstheme="majorHAnsi"/>
          <w:b/>
          <w:bCs/>
          <w:color w:val="000000" w:themeColor="text1"/>
          <w:sz w:val="20"/>
          <w:shd w:val="clear" w:color="auto" w:fill="FFFFFF"/>
        </w:rPr>
      </w:pPr>
      <w:r w:rsidRPr="00F21C46">
        <w:rPr>
          <w:rStyle w:val="num"/>
          <w:rFonts w:asciiTheme="majorHAnsi" w:hAnsiTheme="majorHAnsi" w:cstheme="majorHAnsi"/>
          <w:b/>
          <w:bCs/>
          <w:color w:val="000000" w:themeColor="text1"/>
          <w:sz w:val="20"/>
          <w:shd w:val="clear" w:color="auto" w:fill="FFFFFF"/>
        </w:rPr>
        <w:t>…</w:t>
      </w:r>
    </w:p>
    <w:p w14:paraId="6E81A361" w14:textId="147D8F2B" w:rsidR="00686FED" w:rsidRPr="00F21C46" w:rsidRDefault="00686FED" w:rsidP="00494C7E">
      <w:pPr>
        <w:rPr>
          <w:rStyle w:val="num"/>
          <w:rFonts w:asciiTheme="majorHAnsi" w:hAnsiTheme="majorHAnsi" w:cstheme="majorHAnsi"/>
          <w:bCs/>
          <w:color w:val="000000" w:themeColor="text1"/>
          <w:sz w:val="20"/>
          <w:shd w:val="clear" w:color="auto" w:fill="FFFFFF"/>
        </w:rPr>
      </w:pPr>
      <w:r w:rsidRPr="00F21C46">
        <w:rPr>
          <w:rStyle w:val="num"/>
          <w:rFonts w:asciiTheme="majorHAnsi" w:hAnsiTheme="majorHAnsi" w:cstheme="majorHAnsi"/>
          <w:bCs/>
          <w:color w:val="000000" w:themeColor="text1"/>
          <w:sz w:val="20"/>
          <w:shd w:val="clear" w:color="auto" w:fill="FFFFFF"/>
        </w:rPr>
        <w:t xml:space="preserve">(2) </w:t>
      </w:r>
      <w:r w:rsidRPr="00F21C46">
        <w:rPr>
          <w:rStyle w:val="num"/>
          <w:rFonts w:asciiTheme="majorHAnsi" w:hAnsiTheme="majorHAnsi" w:cstheme="majorHAnsi"/>
          <w:b/>
          <w:bCs/>
          <w:color w:val="000000" w:themeColor="text1"/>
          <w:sz w:val="20"/>
          <w:shd w:val="clear" w:color="auto" w:fill="FFFFFF"/>
        </w:rPr>
        <w:t>Form, manner, and frequency of notice</w:t>
      </w:r>
    </w:p>
    <w:p w14:paraId="29D0AA29" w14:textId="5BEB2EC7" w:rsidR="00686FED" w:rsidRPr="00F21C46" w:rsidRDefault="00686FED" w:rsidP="00494C7E">
      <w:pPr>
        <w:rPr>
          <w:rStyle w:val="num"/>
          <w:rFonts w:asciiTheme="majorHAnsi" w:hAnsiTheme="majorHAnsi" w:cstheme="majorHAnsi"/>
          <w:b/>
          <w:bCs/>
          <w:color w:val="000000" w:themeColor="text1"/>
          <w:sz w:val="20"/>
          <w:shd w:val="clear" w:color="auto" w:fill="FFFFFF"/>
        </w:rPr>
      </w:pPr>
      <w:r w:rsidRPr="00F21C46">
        <w:rPr>
          <w:rStyle w:val="num"/>
          <w:rFonts w:asciiTheme="majorHAnsi" w:hAnsiTheme="majorHAnsi" w:cstheme="majorHAnsi"/>
          <w:b/>
          <w:bCs/>
          <w:color w:val="000000" w:themeColor="text1"/>
          <w:sz w:val="20"/>
          <w:shd w:val="clear" w:color="auto" w:fill="FFFFFF"/>
        </w:rPr>
        <w:t>…</w:t>
      </w:r>
    </w:p>
    <w:p w14:paraId="11439DA6" w14:textId="2C072985" w:rsidR="00127C1D" w:rsidRPr="00F21C46" w:rsidRDefault="00494C7E" w:rsidP="00494C7E">
      <w:pPr>
        <w:rPr>
          <w:rStyle w:val="heading"/>
          <w:rFonts w:asciiTheme="majorHAnsi" w:hAnsiTheme="majorHAnsi" w:cstheme="majorHAnsi"/>
          <w:b/>
          <w:bCs/>
          <w:color w:val="000000" w:themeColor="text1"/>
          <w:sz w:val="20"/>
          <w:shd w:val="clear" w:color="auto" w:fill="FFFFFF"/>
        </w:rPr>
      </w:pPr>
      <w:r w:rsidRPr="00F21C46">
        <w:rPr>
          <w:rStyle w:val="num"/>
          <w:rFonts w:asciiTheme="majorHAnsi" w:hAnsiTheme="majorHAnsi" w:cstheme="majorHAnsi"/>
          <w:bCs/>
          <w:color w:val="000000" w:themeColor="text1"/>
          <w:sz w:val="20"/>
          <w:shd w:val="clear" w:color="auto" w:fill="FFFFFF"/>
        </w:rPr>
        <w:t>(C)</w:t>
      </w:r>
      <w:r w:rsidR="00A074EF" w:rsidRPr="00F21C46">
        <w:rPr>
          <w:rStyle w:val="num"/>
          <w:rFonts w:asciiTheme="majorHAnsi" w:hAnsiTheme="majorHAnsi" w:cstheme="majorHAnsi"/>
          <w:b/>
          <w:bCs/>
          <w:color w:val="000000" w:themeColor="text1"/>
          <w:sz w:val="20"/>
          <w:shd w:val="clear" w:color="auto" w:fill="FFFFFF"/>
        </w:rPr>
        <w:t xml:space="preserve">  </w:t>
      </w:r>
      <w:r w:rsidRPr="00F21C46">
        <w:rPr>
          <w:rStyle w:val="heading"/>
          <w:rFonts w:asciiTheme="majorHAnsi" w:hAnsiTheme="majorHAnsi" w:cstheme="majorHAnsi"/>
          <w:b/>
          <w:color w:val="000000" w:themeColor="text1"/>
          <w:sz w:val="20"/>
          <w:shd w:val="clear" w:color="auto" w:fill="FFFFFF"/>
        </w:rPr>
        <w:t>Notice of violations or exceedances with</w:t>
      </w:r>
      <w:r w:rsidRPr="00F21C46">
        <w:rPr>
          <w:rStyle w:val="heading"/>
          <w:rFonts w:asciiTheme="majorHAnsi" w:hAnsiTheme="majorHAnsi" w:cstheme="majorHAnsi"/>
          <w:color w:val="000000" w:themeColor="text1"/>
          <w:sz w:val="20"/>
          <w:shd w:val="clear" w:color="auto" w:fill="FFFFFF"/>
        </w:rPr>
        <w:t xml:space="preserve"> </w:t>
      </w:r>
      <w:r w:rsidRPr="00F21C46">
        <w:rPr>
          <w:rStyle w:val="heading"/>
          <w:rFonts w:asciiTheme="majorHAnsi" w:hAnsiTheme="majorHAnsi" w:cstheme="majorHAnsi"/>
          <w:b/>
          <w:color w:val="000000" w:themeColor="text1"/>
          <w:sz w:val="20"/>
          <w:shd w:val="clear" w:color="auto" w:fill="FFFFFF"/>
        </w:rPr>
        <w:t>potential to have serious adverse effects on human health</w:t>
      </w:r>
    </w:p>
    <w:p w14:paraId="784800B8" w14:textId="61D3B13F" w:rsidR="00494C7E" w:rsidRPr="00F21C46" w:rsidRDefault="00494C7E" w:rsidP="00494C7E">
      <w:pPr>
        <w:rPr>
          <w:rFonts w:asciiTheme="majorHAnsi" w:hAnsiTheme="majorHAnsi" w:cstheme="majorHAnsi"/>
          <w:color w:val="000000" w:themeColor="text1"/>
          <w:sz w:val="20"/>
        </w:rPr>
      </w:pPr>
      <w:r w:rsidRPr="00F21C46">
        <w:rPr>
          <w:rStyle w:val="chapeau"/>
          <w:rFonts w:asciiTheme="majorHAnsi" w:hAnsiTheme="majorHAnsi" w:cstheme="majorHAnsi"/>
          <w:color w:val="000000" w:themeColor="text1"/>
          <w:sz w:val="20"/>
          <w:shd w:val="clear" w:color="auto" w:fill="FFFFFF"/>
        </w:rPr>
        <w:t>Regulations issued under subparagraph (A) shall specify notification procedures for each </w:t>
      </w:r>
      <w:hyperlink r:id="rId23" w:history="1">
        <w:r w:rsidRPr="00F21C46">
          <w:rPr>
            <w:rStyle w:val="Hyperlink"/>
            <w:rFonts w:asciiTheme="majorHAnsi" w:hAnsiTheme="majorHAnsi" w:cstheme="majorHAnsi"/>
            <w:color w:val="000000" w:themeColor="text1"/>
            <w:sz w:val="20"/>
            <w:u w:val="none"/>
          </w:rPr>
          <w:t>violation</w:t>
        </w:r>
      </w:hyperlink>
      <w:r w:rsidRPr="00F21C46">
        <w:rPr>
          <w:rStyle w:val="chapeau"/>
          <w:rFonts w:asciiTheme="majorHAnsi" w:hAnsiTheme="majorHAnsi" w:cstheme="majorHAnsi"/>
          <w:color w:val="000000" w:themeColor="text1"/>
          <w:sz w:val="20"/>
          <w:shd w:val="clear" w:color="auto" w:fill="FFFFFF"/>
        </w:rPr>
        <w:t xml:space="preserve">, and each exceedance described in paragraph (1)(D), by a public water system that has the potential to have </w:t>
      </w:r>
      <w:r w:rsidRPr="00F21C46">
        <w:rPr>
          <w:rStyle w:val="chapeau"/>
          <w:rFonts w:asciiTheme="majorHAnsi" w:hAnsiTheme="majorHAnsi" w:cstheme="majorHAnsi"/>
          <w:b/>
          <w:color w:val="000000" w:themeColor="text1"/>
          <w:sz w:val="20"/>
          <w:shd w:val="clear" w:color="auto" w:fill="FFFFFF"/>
        </w:rPr>
        <w:t>serious adverse effects on human health as a result of short-term exposure</w:t>
      </w:r>
      <w:r w:rsidRPr="00F21C46">
        <w:rPr>
          <w:rStyle w:val="chapeau"/>
          <w:rFonts w:asciiTheme="majorHAnsi" w:hAnsiTheme="majorHAnsi" w:cstheme="majorHAnsi"/>
          <w:color w:val="000000" w:themeColor="text1"/>
          <w:sz w:val="20"/>
          <w:shd w:val="clear" w:color="auto" w:fill="FFFFFF"/>
        </w:rPr>
        <w:t>. Each notice of </w:t>
      </w:r>
      <w:hyperlink r:id="rId24" w:history="1">
        <w:r w:rsidRPr="00F21C46">
          <w:rPr>
            <w:rStyle w:val="Hyperlink"/>
            <w:rFonts w:asciiTheme="majorHAnsi" w:hAnsiTheme="majorHAnsi" w:cstheme="majorHAnsi"/>
            <w:color w:val="000000" w:themeColor="text1"/>
            <w:sz w:val="20"/>
            <w:u w:val="none"/>
          </w:rPr>
          <w:t>violation</w:t>
        </w:r>
      </w:hyperlink>
      <w:r w:rsidRPr="00F21C46">
        <w:rPr>
          <w:rStyle w:val="chapeau"/>
          <w:rFonts w:asciiTheme="majorHAnsi" w:hAnsiTheme="majorHAnsi" w:cstheme="majorHAnsi"/>
          <w:color w:val="000000" w:themeColor="text1"/>
          <w:sz w:val="20"/>
          <w:shd w:val="clear" w:color="auto" w:fill="FFFFFF"/>
        </w:rPr>
        <w:t> or exceedance provided under this subparagraph shall—</w:t>
      </w:r>
    </w:p>
    <w:p w14:paraId="17F4FBCC" w14:textId="43990F1B" w:rsidR="00494C7E" w:rsidRPr="00F21C46" w:rsidRDefault="00494C7E" w:rsidP="00E10E1C">
      <w:pPr>
        <w:pStyle w:val="ListParagraph"/>
        <w:numPr>
          <w:ilvl w:val="0"/>
          <w:numId w:val="1"/>
        </w:numPr>
        <w:shd w:val="clear" w:color="auto" w:fill="FFFFFF"/>
        <w:spacing w:after="120"/>
        <w:ind w:left="720" w:hanging="360"/>
        <w:contextualSpacing w:val="0"/>
        <w:rPr>
          <w:rFonts w:asciiTheme="majorHAnsi" w:hAnsiTheme="majorHAnsi" w:cstheme="majorHAnsi"/>
          <w:color w:val="000000" w:themeColor="text1"/>
          <w:sz w:val="20"/>
        </w:rPr>
      </w:pPr>
      <w:bookmarkStart w:id="1" w:name="c_2_C_i"/>
      <w:bookmarkEnd w:id="1"/>
      <w:r w:rsidRPr="00F21C46">
        <w:rPr>
          <w:rFonts w:asciiTheme="majorHAnsi" w:hAnsiTheme="majorHAnsi" w:cstheme="majorHAnsi"/>
          <w:color w:val="000000" w:themeColor="text1"/>
          <w:sz w:val="20"/>
        </w:rPr>
        <w:t>be distributed as soon as practicable, but not later than 24 hours, after the public water system learns of the </w:t>
      </w:r>
      <w:hyperlink r:id="rId25" w:history="1">
        <w:r w:rsidRPr="00F21C46">
          <w:rPr>
            <w:rStyle w:val="Hyperlink"/>
            <w:rFonts w:asciiTheme="majorHAnsi" w:hAnsiTheme="majorHAnsi" w:cstheme="majorHAnsi"/>
            <w:color w:val="000000" w:themeColor="text1"/>
            <w:sz w:val="20"/>
            <w:u w:val="none"/>
          </w:rPr>
          <w:t>violation</w:t>
        </w:r>
      </w:hyperlink>
      <w:r w:rsidRPr="00F21C46">
        <w:rPr>
          <w:rFonts w:asciiTheme="majorHAnsi" w:hAnsiTheme="majorHAnsi" w:cstheme="majorHAnsi"/>
          <w:color w:val="000000" w:themeColor="text1"/>
          <w:sz w:val="20"/>
        </w:rPr>
        <w:t> or exceedance;</w:t>
      </w:r>
    </w:p>
    <w:p w14:paraId="2C6C855F" w14:textId="45490216" w:rsidR="00494C7E" w:rsidRPr="00F21C46" w:rsidRDefault="00494C7E" w:rsidP="00E10E1C">
      <w:pPr>
        <w:pStyle w:val="ListParagraph"/>
        <w:numPr>
          <w:ilvl w:val="0"/>
          <w:numId w:val="1"/>
        </w:numPr>
        <w:shd w:val="clear" w:color="auto" w:fill="FFFFFF"/>
        <w:spacing w:after="120"/>
        <w:ind w:left="720" w:hanging="360"/>
        <w:contextualSpacing w:val="0"/>
        <w:rPr>
          <w:rFonts w:asciiTheme="majorHAnsi" w:hAnsiTheme="majorHAnsi" w:cstheme="majorHAnsi"/>
          <w:color w:val="000000" w:themeColor="text1"/>
          <w:sz w:val="20"/>
        </w:rPr>
      </w:pPr>
      <w:bookmarkStart w:id="2" w:name="c_2_C_ii"/>
      <w:bookmarkEnd w:id="2"/>
      <w:r w:rsidRPr="00F21C46">
        <w:rPr>
          <w:rStyle w:val="chapeau"/>
          <w:rFonts w:asciiTheme="majorHAnsi" w:hAnsiTheme="majorHAnsi" w:cstheme="majorHAnsi"/>
          <w:color w:val="000000" w:themeColor="text1"/>
          <w:sz w:val="20"/>
        </w:rPr>
        <w:t>provide a clear and readily understandable explanation of—</w:t>
      </w:r>
    </w:p>
    <w:p w14:paraId="30957C28" w14:textId="2DABBCF3" w:rsidR="00494C7E" w:rsidRPr="00F21C46" w:rsidRDefault="00494C7E" w:rsidP="00E10E1C">
      <w:pPr>
        <w:pStyle w:val="ListParagraph"/>
        <w:numPr>
          <w:ilvl w:val="0"/>
          <w:numId w:val="2"/>
        </w:numPr>
        <w:shd w:val="clear" w:color="auto" w:fill="FFFFFF"/>
        <w:spacing w:after="120"/>
        <w:ind w:left="1620" w:hanging="540"/>
        <w:contextualSpacing w:val="0"/>
        <w:rPr>
          <w:rFonts w:asciiTheme="majorHAnsi" w:hAnsiTheme="majorHAnsi" w:cstheme="majorHAnsi"/>
          <w:color w:val="000000" w:themeColor="text1"/>
          <w:sz w:val="20"/>
        </w:rPr>
      </w:pPr>
      <w:bookmarkStart w:id="3" w:name="c_2_C_ii_I"/>
      <w:bookmarkEnd w:id="3"/>
      <w:r w:rsidRPr="00F21C46">
        <w:rPr>
          <w:rFonts w:asciiTheme="majorHAnsi" w:hAnsiTheme="majorHAnsi" w:cstheme="majorHAnsi"/>
          <w:b/>
          <w:color w:val="000000" w:themeColor="text1"/>
          <w:sz w:val="20"/>
        </w:rPr>
        <w:t>the </w:t>
      </w:r>
      <w:r w:rsidRPr="00F21C46">
        <w:rPr>
          <w:rStyle w:val="Hyperlink"/>
          <w:rFonts w:asciiTheme="majorHAnsi" w:hAnsiTheme="majorHAnsi" w:cstheme="majorHAnsi"/>
          <w:b/>
          <w:color w:val="000000" w:themeColor="text1"/>
          <w:sz w:val="20"/>
          <w:u w:val="none"/>
        </w:rPr>
        <w:t>violation</w:t>
      </w:r>
      <w:r w:rsidRPr="00F21C46">
        <w:rPr>
          <w:rFonts w:asciiTheme="majorHAnsi" w:hAnsiTheme="majorHAnsi" w:cstheme="majorHAnsi"/>
          <w:b/>
          <w:color w:val="000000" w:themeColor="text1"/>
          <w:sz w:val="20"/>
        </w:rPr>
        <w:t> or exceedance</w:t>
      </w:r>
      <w:r w:rsidRPr="00F21C46">
        <w:rPr>
          <w:rFonts w:asciiTheme="majorHAnsi" w:hAnsiTheme="majorHAnsi" w:cstheme="majorHAnsi"/>
          <w:color w:val="000000" w:themeColor="text1"/>
          <w:sz w:val="20"/>
        </w:rPr>
        <w:t>;</w:t>
      </w:r>
    </w:p>
    <w:p w14:paraId="424449D0" w14:textId="02E1300B" w:rsidR="00494C7E" w:rsidRPr="00F21C46" w:rsidRDefault="00494C7E" w:rsidP="00E10E1C">
      <w:pPr>
        <w:pStyle w:val="ListParagraph"/>
        <w:numPr>
          <w:ilvl w:val="0"/>
          <w:numId w:val="2"/>
        </w:numPr>
        <w:shd w:val="clear" w:color="auto" w:fill="FFFFFF"/>
        <w:spacing w:after="120"/>
        <w:ind w:left="1620" w:hanging="540"/>
        <w:contextualSpacing w:val="0"/>
        <w:rPr>
          <w:rFonts w:asciiTheme="majorHAnsi" w:hAnsiTheme="majorHAnsi" w:cstheme="majorHAnsi"/>
          <w:color w:val="000000" w:themeColor="text1"/>
          <w:sz w:val="20"/>
        </w:rPr>
      </w:pPr>
      <w:bookmarkStart w:id="4" w:name="c_2_C_ii_II"/>
      <w:bookmarkEnd w:id="4"/>
      <w:r w:rsidRPr="00F21C46">
        <w:rPr>
          <w:rFonts w:asciiTheme="majorHAnsi" w:hAnsiTheme="majorHAnsi" w:cstheme="majorHAnsi"/>
          <w:color w:val="000000" w:themeColor="text1"/>
          <w:sz w:val="20"/>
        </w:rPr>
        <w:t>the potential adverse effects on human health;</w:t>
      </w:r>
    </w:p>
    <w:p w14:paraId="6D3D4D5C" w14:textId="10596EAF" w:rsidR="00494C7E" w:rsidRPr="00F21C46" w:rsidRDefault="00494C7E" w:rsidP="00E10E1C">
      <w:pPr>
        <w:pStyle w:val="ListParagraph"/>
        <w:numPr>
          <w:ilvl w:val="0"/>
          <w:numId w:val="2"/>
        </w:numPr>
        <w:shd w:val="clear" w:color="auto" w:fill="FFFFFF"/>
        <w:spacing w:after="120"/>
        <w:ind w:left="1620" w:hanging="540"/>
        <w:contextualSpacing w:val="0"/>
        <w:rPr>
          <w:rFonts w:asciiTheme="majorHAnsi" w:hAnsiTheme="majorHAnsi" w:cstheme="majorHAnsi"/>
          <w:color w:val="000000" w:themeColor="text1"/>
          <w:sz w:val="20"/>
        </w:rPr>
      </w:pPr>
      <w:bookmarkStart w:id="5" w:name="c_2_C_ii_III"/>
      <w:bookmarkEnd w:id="5"/>
      <w:r w:rsidRPr="00F21C46">
        <w:rPr>
          <w:rFonts w:asciiTheme="majorHAnsi" w:hAnsiTheme="majorHAnsi" w:cstheme="majorHAnsi"/>
          <w:color w:val="000000" w:themeColor="text1"/>
          <w:sz w:val="20"/>
        </w:rPr>
        <w:t>the steps that the public water system is taking to correct the </w:t>
      </w:r>
      <w:r w:rsidRPr="00F21C46">
        <w:rPr>
          <w:rStyle w:val="Hyperlink"/>
          <w:rFonts w:asciiTheme="majorHAnsi" w:hAnsiTheme="majorHAnsi" w:cstheme="majorHAnsi"/>
          <w:color w:val="000000" w:themeColor="text1"/>
          <w:sz w:val="20"/>
          <w:u w:val="none"/>
        </w:rPr>
        <w:t>violation</w:t>
      </w:r>
      <w:r w:rsidRPr="00F21C46">
        <w:rPr>
          <w:rFonts w:asciiTheme="majorHAnsi" w:hAnsiTheme="majorHAnsi" w:cstheme="majorHAnsi"/>
          <w:color w:val="000000" w:themeColor="text1"/>
          <w:sz w:val="20"/>
        </w:rPr>
        <w:t> or exceedance; and</w:t>
      </w:r>
    </w:p>
    <w:p w14:paraId="675A09C0" w14:textId="621BDAAC" w:rsidR="00494C7E" w:rsidRPr="00F21C46" w:rsidRDefault="00494C7E" w:rsidP="00E10E1C">
      <w:pPr>
        <w:pStyle w:val="ListParagraph"/>
        <w:numPr>
          <w:ilvl w:val="0"/>
          <w:numId w:val="2"/>
        </w:numPr>
        <w:shd w:val="clear" w:color="auto" w:fill="FFFFFF"/>
        <w:spacing w:after="120"/>
        <w:ind w:left="1620" w:hanging="540"/>
        <w:contextualSpacing w:val="0"/>
        <w:rPr>
          <w:rFonts w:asciiTheme="majorHAnsi" w:hAnsiTheme="majorHAnsi" w:cstheme="majorHAnsi"/>
          <w:color w:val="000000" w:themeColor="text1"/>
          <w:sz w:val="20"/>
        </w:rPr>
      </w:pPr>
      <w:bookmarkStart w:id="6" w:name="c_2_C_ii_IV"/>
      <w:bookmarkEnd w:id="6"/>
      <w:r w:rsidRPr="00F21C46">
        <w:rPr>
          <w:rFonts w:asciiTheme="majorHAnsi" w:hAnsiTheme="majorHAnsi" w:cstheme="majorHAnsi"/>
          <w:color w:val="000000" w:themeColor="text1"/>
          <w:sz w:val="20"/>
        </w:rPr>
        <w:t>the necessity of seeking alternative water supplies until the </w:t>
      </w:r>
      <w:hyperlink r:id="rId26" w:history="1">
        <w:r w:rsidRPr="00F21C46">
          <w:rPr>
            <w:rStyle w:val="Hyperlink"/>
            <w:rFonts w:asciiTheme="majorHAnsi" w:hAnsiTheme="majorHAnsi" w:cstheme="majorHAnsi"/>
            <w:color w:val="000000" w:themeColor="text1"/>
            <w:sz w:val="20"/>
            <w:u w:val="none"/>
          </w:rPr>
          <w:t>violation</w:t>
        </w:r>
      </w:hyperlink>
      <w:r w:rsidRPr="00F21C46">
        <w:rPr>
          <w:rFonts w:asciiTheme="majorHAnsi" w:hAnsiTheme="majorHAnsi" w:cstheme="majorHAnsi"/>
          <w:color w:val="000000" w:themeColor="text1"/>
          <w:sz w:val="20"/>
        </w:rPr>
        <w:t> or exceedance is corrected;</w:t>
      </w:r>
    </w:p>
    <w:p w14:paraId="7E740C88" w14:textId="28B98C7E" w:rsidR="00494C7E" w:rsidRPr="00F21C46" w:rsidRDefault="00494C7E" w:rsidP="00E10E1C">
      <w:pPr>
        <w:pStyle w:val="ListParagraph"/>
        <w:numPr>
          <w:ilvl w:val="0"/>
          <w:numId w:val="1"/>
        </w:numPr>
        <w:shd w:val="clear" w:color="auto" w:fill="FFFFFF"/>
        <w:spacing w:after="120"/>
        <w:ind w:left="810" w:hanging="450"/>
        <w:contextualSpacing w:val="0"/>
        <w:rPr>
          <w:rFonts w:asciiTheme="majorHAnsi" w:hAnsiTheme="majorHAnsi" w:cstheme="majorHAnsi"/>
          <w:color w:val="000000" w:themeColor="text1"/>
          <w:sz w:val="20"/>
        </w:rPr>
      </w:pPr>
      <w:bookmarkStart w:id="7" w:name="c_2_C_iii"/>
      <w:bookmarkEnd w:id="7"/>
      <w:r w:rsidRPr="00F21C46">
        <w:rPr>
          <w:rFonts w:asciiTheme="majorHAnsi" w:hAnsiTheme="majorHAnsi" w:cstheme="majorHAnsi"/>
          <w:color w:val="000000" w:themeColor="text1"/>
          <w:sz w:val="20"/>
        </w:rPr>
        <w:t>be provided to the </w:t>
      </w:r>
      <w:r w:rsidRPr="00F21C46">
        <w:rPr>
          <w:rStyle w:val="Hyperlink"/>
          <w:rFonts w:asciiTheme="majorHAnsi" w:hAnsiTheme="majorHAnsi" w:cstheme="majorHAnsi"/>
          <w:color w:val="000000" w:themeColor="text1"/>
          <w:sz w:val="20"/>
          <w:u w:val="none"/>
        </w:rPr>
        <w:t>Administrator</w:t>
      </w:r>
      <w:r w:rsidRPr="00F21C46">
        <w:rPr>
          <w:rFonts w:asciiTheme="majorHAnsi" w:hAnsiTheme="majorHAnsi" w:cstheme="majorHAnsi"/>
          <w:color w:val="000000" w:themeColor="text1"/>
          <w:sz w:val="20"/>
        </w:rPr>
        <w:t> and the head of the</w:t>
      </w:r>
      <w:r w:rsidRPr="00F21C46">
        <w:rPr>
          <w:rStyle w:val="Hyperlink"/>
          <w:rFonts w:asciiTheme="majorHAnsi" w:hAnsiTheme="majorHAnsi" w:cstheme="majorHAnsi"/>
          <w:color w:val="000000" w:themeColor="text1"/>
          <w:sz w:val="20"/>
          <w:u w:val="none"/>
        </w:rPr>
        <w:t> State agency </w:t>
      </w:r>
      <w:r w:rsidRPr="00F21C46">
        <w:rPr>
          <w:rFonts w:asciiTheme="majorHAnsi" w:hAnsiTheme="majorHAnsi" w:cstheme="majorHAnsi"/>
          <w:color w:val="000000" w:themeColor="text1"/>
          <w:sz w:val="20"/>
        </w:rPr>
        <w:t>that has</w:t>
      </w:r>
      <w:r w:rsidRPr="00F21C46">
        <w:rPr>
          <w:rStyle w:val="Hyperlink"/>
          <w:rFonts w:asciiTheme="majorHAnsi" w:hAnsiTheme="majorHAnsi" w:cstheme="majorHAnsi"/>
          <w:color w:val="000000" w:themeColor="text1"/>
          <w:sz w:val="20"/>
          <w:u w:val="none"/>
        </w:rPr>
        <w:t> primary enforcement responsibility </w:t>
      </w:r>
      <w:r w:rsidRPr="00F21C46">
        <w:rPr>
          <w:rFonts w:asciiTheme="majorHAnsi" w:hAnsiTheme="majorHAnsi" w:cstheme="majorHAnsi"/>
          <w:color w:val="000000" w:themeColor="text1"/>
          <w:sz w:val="20"/>
        </w:rPr>
        <w:t>under </w:t>
      </w:r>
      <w:r w:rsidRPr="00F21C46">
        <w:rPr>
          <w:rStyle w:val="Hyperlink"/>
          <w:rFonts w:asciiTheme="majorHAnsi" w:hAnsiTheme="majorHAnsi" w:cstheme="majorHAnsi"/>
          <w:color w:val="000000" w:themeColor="text1"/>
          <w:sz w:val="20"/>
          <w:u w:val="none"/>
        </w:rPr>
        <w:t>section 300g–2 of this title</w:t>
      </w:r>
      <w:r w:rsidRPr="00F21C46">
        <w:rPr>
          <w:rFonts w:asciiTheme="majorHAnsi" w:hAnsiTheme="majorHAnsi" w:cstheme="majorHAnsi"/>
          <w:color w:val="000000" w:themeColor="text1"/>
          <w:sz w:val="20"/>
        </w:rPr>
        <w:t>, as applicable, as soon as practicable, but not later than 24 hours after the public water system learns of the</w:t>
      </w:r>
      <w:hyperlink r:id="rId27" w:history="1">
        <w:r w:rsidRPr="00F21C46">
          <w:rPr>
            <w:rStyle w:val="Hyperlink"/>
            <w:rFonts w:asciiTheme="majorHAnsi" w:hAnsiTheme="majorHAnsi" w:cstheme="majorHAnsi"/>
            <w:color w:val="000000" w:themeColor="text1"/>
            <w:sz w:val="20"/>
            <w:u w:val="none"/>
          </w:rPr>
          <w:t> violation </w:t>
        </w:r>
      </w:hyperlink>
      <w:r w:rsidRPr="00F21C46">
        <w:rPr>
          <w:rFonts w:asciiTheme="majorHAnsi" w:hAnsiTheme="majorHAnsi" w:cstheme="majorHAnsi"/>
          <w:color w:val="000000" w:themeColor="text1"/>
          <w:sz w:val="20"/>
        </w:rPr>
        <w:t>or exceedance; and</w:t>
      </w:r>
    </w:p>
    <w:p w14:paraId="4511A675" w14:textId="3054FA8F" w:rsidR="00494C7E" w:rsidRPr="00F21C46" w:rsidRDefault="00494C7E" w:rsidP="00E10E1C">
      <w:pPr>
        <w:pStyle w:val="ListParagraph"/>
        <w:numPr>
          <w:ilvl w:val="0"/>
          <w:numId w:val="1"/>
        </w:numPr>
        <w:shd w:val="clear" w:color="auto" w:fill="FFFFFF"/>
        <w:spacing w:after="120"/>
        <w:ind w:left="810" w:hanging="450"/>
        <w:contextualSpacing w:val="0"/>
        <w:rPr>
          <w:rFonts w:asciiTheme="majorHAnsi" w:hAnsiTheme="majorHAnsi" w:cstheme="majorHAnsi"/>
          <w:color w:val="000000" w:themeColor="text1"/>
          <w:sz w:val="20"/>
        </w:rPr>
      </w:pPr>
      <w:bookmarkStart w:id="8" w:name="c_2_C_iv"/>
      <w:bookmarkEnd w:id="8"/>
      <w:r w:rsidRPr="00F21C46">
        <w:rPr>
          <w:rFonts w:asciiTheme="majorHAnsi" w:hAnsiTheme="majorHAnsi" w:cstheme="majorHAnsi"/>
          <w:color w:val="000000" w:themeColor="text1"/>
          <w:sz w:val="20"/>
        </w:rPr>
        <w:t>as required by the </w:t>
      </w:r>
      <w:hyperlink r:id="rId28" w:history="1">
        <w:r w:rsidRPr="00F21C46">
          <w:rPr>
            <w:rFonts w:asciiTheme="majorHAnsi" w:hAnsiTheme="majorHAnsi" w:cstheme="majorHAnsi"/>
            <w:color w:val="000000" w:themeColor="text1"/>
            <w:sz w:val="20"/>
          </w:rPr>
          <w:t>State agency</w:t>
        </w:r>
      </w:hyperlink>
      <w:r w:rsidRPr="00F21C46">
        <w:rPr>
          <w:rFonts w:asciiTheme="majorHAnsi" w:hAnsiTheme="majorHAnsi" w:cstheme="majorHAnsi"/>
          <w:color w:val="000000" w:themeColor="text1"/>
          <w:sz w:val="20"/>
        </w:rPr>
        <w:t> in general</w:t>
      </w:r>
      <w:hyperlink r:id="rId29" w:history="1">
        <w:r w:rsidRPr="00F21C46">
          <w:rPr>
            <w:rFonts w:asciiTheme="majorHAnsi" w:hAnsiTheme="majorHAnsi" w:cstheme="majorHAnsi"/>
            <w:color w:val="000000" w:themeColor="text1"/>
            <w:sz w:val="20"/>
          </w:rPr>
          <w:t> regulations </w:t>
        </w:r>
      </w:hyperlink>
      <w:r w:rsidRPr="00F21C46">
        <w:rPr>
          <w:rFonts w:asciiTheme="majorHAnsi" w:hAnsiTheme="majorHAnsi" w:cstheme="majorHAnsi"/>
          <w:color w:val="000000" w:themeColor="text1"/>
          <w:sz w:val="20"/>
        </w:rPr>
        <w:t>of the </w:t>
      </w:r>
      <w:hyperlink r:id="rId30" w:history="1">
        <w:r w:rsidRPr="00F21C46">
          <w:rPr>
            <w:rFonts w:asciiTheme="majorHAnsi" w:hAnsiTheme="majorHAnsi" w:cstheme="majorHAnsi"/>
            <w:color w:val="000000" w:themeColor="text1"/>
            <w:sz w:val="20"/>
          </w:rPr>
          <w:t>State agency</w:t>
        </w:r>
      </w:hyperlink>
      <w:r w:rsidRPr="00F21C46">
        <w:rPr>
          <w:rFonts w:asciiTheme="majorHAnsi" w:hAnsiTheme="majorHAnsi" w:cstheme="majorHAnsi"/>
          <w:color w:val="000000" w:themeColor="text1"/>
          <w:sz w:val="20"/>
        </w:rPr>
        <w:t>, or on a case-by-case basis after the consultation referred to in clause (iii), considering the health risks involved—</w:t>
      </w:r>
    </w:p>
    <w:p w14:paraId="122A87E3" w14:textId="225964AB" w:rsidR="00494C7E" w:rsidRPr="00F21C46" w:rsidRDefault="00494C7E" w:rsidP="00E10E1C">
      <w:pPr>
        <w:pStyle w:val="ListParagraph"/>
        <w:numPr>
          <w:ilvl w:val="0"/>
          <w:numId w:val="3"/>
        </w:numPr>
        <w:shd w:val="clear" w:color="auto" w:fill="FFFFFF"/>
        <w:spacing w:after="120"/>
        <w:ind w:left="1530" w:hanging="450"/>
        <w:contextualSpacing w:val="0"/>
        <w:rPr>
          <w:rFonts w:asciiTheme="majorHAnsi" w:hAnsiTheme="majorHAnsi" w:cstheme="majorHAnsi"/>
          <w:color w:val="000000" w:themeColor="text1"/>
          <w:sz w:val="20"/>
        </w:rPr>
      </w:pPr>
      <w:bookmarkStart w:id="9" w:name="c_2_C_iv_I"/>
      <w:bookmarkEnd w:id="9"/>
      <w:r w:rsidRPr="00F21C46">
        <w:rPr>
          <w:rFonts w:asciiTheme="majorHAnsi" w:hAnsiTheme="majorHAnsi" w:cstheme="majorHAnsi"/>
          <w:color w:val="000000" w:themeColor="text1"/>
          <w:sz w:val="20"/>
        </w:rPr>
        <w:t>be provided to appropriate media, including broadcast media;</w:t>
      </w:r>
    </w:p>
    <w:p w14:paraId="4F0E8A71" w14:textId="76EB22CD" w:rsidR="00494C7E" w:rsidRPr="00F21C46" w:rsidRDefault="00494C7E" w:rsidP="00E10E1C">
      <w:pPr>
        <w:pStyle w:val="ListParagraph"/>
        <w:numPr>
          <w:ilvl w:val="0"/>
          <w:numId w:val="3"/>
        </w:numPr>
        <w:shd w:val="clear" w:color="auto" w:fill="FFFFFF"/>
        <w:spacing w:after="120"/>
        <w:ind w:left="1530" w:hanging="450"/>
        <w:contextualSpacing w:val="0"/>
        <w:rPr>
          <w:rFonts w:asciiTheme="majorHAnsi" w:hAnsiTheme="majorHAnsi" w:cstheme="majorHAnsi"/>
          <w:color w:val="000000" w:themeColor="text1"/>
          <w:sz w:val="20"/>
        </w:rPr>
      </w:pPr>
      <w:bookmarkStart w:id="10" w:name="c_2_C_iv_II"/>
      <w:bookmarkEnd w:id="10"/>
      <w:r w:rsidRPr="00F21C46">
        <w:rPr>
          <w:rFonts w:asciiTheme="majorHAnsi" w:hAnsiTheme="majorHAnsi" w:cstheme="majorHAnsi"/>
          <w:color w:val="000000" w:themeColor="text1"/>
          <w:sz w:val="20"/>
        </w:rPr>
        <w:t>be prominently published in a newspaper of general circulation serving the area not later than 1 day after distribution of a notice pursuant to clause (i) or the date of publication of the next issue of the newspaper; or</w:t>
      </w:r>
    </w:p>
    <w:p w14:paraId="2769E291" w14:textId="6F281DBE" w:rsidR="00494C7E" w:rsidRPr="00F21C46" w:rsidRDefault="00494C7E" w:rsidP="00E10E1C">
      <w:pPr>
        <w:pStyle w:val="ListParagraph"/>
        <w:numPr>
          <w:ilvl w:val="0"/>
          <w:numId w:val="3"/>
        </w:numPr>
        <w:shd w:val="clear" w:color="auto" w:fill="FFFFFF"/>
        <w:ind w:left="1530" w:hanging="450"/>
        <w:rPr>
          <w:rFonts w:asciiTheme="majorHAnsi" w:hAnsiTheme="majorHAnsi" w:cstheme="majorHAnsi"/>
          <w:color w:val="000000" w:themeColor="text1"/>
          <w:sz w:val="20"/>
        </w:rPr>
      </w:pPr>
      <w:bookmarkStart w:id="11" w:name="c_2_C_iv_III"/>
      <w:bookmarkEnd w:id="11"/>
      <w:r w:rsidRPr="00F21C46">
        <w:rPr>
          <w:rFonts w:asciiTheme="majorHAnsi" w:hAnsiTheme="majorHAnsi" w:cstheme="majorHAnsi"/>
          <w:color w:val="000000" w:themeColor="text1"/>
          <w:sz w:val="20"/>
        </w:rPr>
        <w:t>be provided by posting or door-to-door notification.</w:t>
      </w:r>
    </w:p>
    <w:p w14:paraId="2425A66D" w14:textId="6772B2A6" w:rsidR="00494C7E" w:rsidRPr="00F21C46" w:rsidRDefault="00494C7E" w:rsidP="00494C7E">
      <w:pPr>
        <w:rPr>
          <w:rFonts w:asciiTheme="majorHAnsi" w:hAnsiTheme="majorHAnsi" w:cstheme="majorHAnsi"/>
          <w:b/>
          <w:sz w:val="20"/>
        </w:rPr>
      </w:pPr>
    </w:p>
    <w:p w14:paraId="764CB851" w14:textId="087FFF35" w:rsidR="00A040F0" w:rsidRPr="00F21C46" w:rsidRDefault="00A040F0">
      <w:pPr>
        <w:rPr>
          <w:rFonts w:asciiTheme="majorHAnsi" w:hAnsiTheme="majorHAnsi" w:cstheme="majorHAnsi"/>
          <w:color w:val="000000"/>
          <w:sz w:val="18"/>
        </w:rPr>
      </w:pPr>
      <w:r w:rsidRPr="00F21C46">
        <w:rPr>
          <w:rFonts w:asciiTheme="majorHAnsi" w:hAnsiTheme="majorHAnsi" w:cstheme="majorHAnsi"/>
          <w:sz w:val="18"/>
        </w:rPr>
        <w:br w:type="page"/>
      </w:r>
    </w:p>
    <w:p w14:paraId="112273EB" w14:textId="77777777" w:rsidR="0022227B" w:rsidRPr="008F3DB0" w:rsidRDefault="0022227B" w:rsidP="0022227B">
      <w:pPr>
        <w:spacing w:after="0"/>
        <w:jc w:val="center"/>
        <w:rPr>
          <w:rStyle w:val="num"/>
          <w:rFonts w:asciiTheme="majorHAnsi" w:hAnsiTheme="majorHAnsi" w:cstheme="majorHAnsi"/>
          <w:bCs/>
          <w:color w:val="000000" w:themeColor="text1"/>
          <w:shd w:val="clear" w:color="auto" w:fill="FFFFFF"/>
        </w:rPr>
      </w:pPr>
      <w:r w:rsidRPr="008F3DB0">
        <w:rPr>
          <w:rStyle w:val="num"/>
          <w:rFonts w:asciiTheme="majorHAnsi" w:hAnsiTheme="majorHAnsi" w:cstheme="majorHAnsi"/>
          <w:bCs/>
          <w:color w:val="000000" w:themeColor="text1"/>
          <w:shd w:val="clear" w:color="auto" w:fill="FFFFFF"/>
        </w:rPr>
        <w:t xml:space="preserve">Excerpt from </w:t>
      </w:r>
    </w:p>
    <w:p w14:paraId="71C5A9FA" w14:textId="246DF790" w:rsidR="0022227B" w:rsidRPr="008F3DB0" w:rsidRDefault="0022227B" w:rsidP="0022227B">
      <w:pPr>
        <w:spacing w:after="0"/>
        <w:jc w:val="center"/>
        <w:rPr>
          <w:rStyle w:val="num"/>
          <w:rFonts w:asciiTheme="majorHAnsi" w:hAnsiTheme="majorHAnsi" w:cstheme="majorHAnsi"/>
          <w:b/>
          <w:bCs/>
          <w:color w:val="000000" w:themeColor="text1"/>
          <w:shd w:val="clear" w:color="auto" w:fill="FFFFFF"/>
        </w:rPr>
      </w:pPr>
      <w:r w:rsidRPr="008F3DB0">
        <w:rPr>
          <w:rStyle w:val="num"/>
          <w:rFonts w:asciiTheme="majorHAnsi" w:hAnsiTheme="majorHAnsi" w:cstheme="majorHAnsi"/>
          <w:b/>
          <w:bCs/>
          <w:color w:val="000000" w:themeColor="text1"/>
          <w:shd w:val="clear" w:color="auto" w:fill="FFFFFF"/>
        </w:rPr>
        <w:t xml:space="preserve">UNITED STATES CODE AS AMENDED BY THE </w:t>
      </w:r>
      <w:r w:rsidR="008161D9" w:rsidRPr="008F3DB0">
        <w:rPr>
          <w:rStyle w:val="num"/>
          <w:rFonts w:asciiTheme="majorHAnsi" w:hAnsiTheme="majorHAnsi" w:cstheme="majorHAnsi"/>
          <w:b/>
          <w:bCs/>
          <w:color w:val="000000" w:themeColor="text1"/>
          <w:shd w:val="clear" w:color="auto" w:fill="FFFFFF"/>
        </w:rPr>
        <w:t>SDWA Amendments of 1996</w:t>
      </w:r>
    </w:p>
    <w:p w14:paraId="4716D115" w14:textId="77777777" w:rsidR="0022227B" w:rsidRPr="008F3DB0" w:rsidRDefault="0022227B" w:rsidP="0022227B">
      <w:pPr>
        <w:spacing w:after="0"/>
        <w:jc w:val="center"/>
        <w:rPr>
          <w:rStyle w:val="num"/>
          <w:rFonts w:asciiTheme="majorHAnsi" w:hAnsiTheme="majorHAnsi" w:cstheme="majorHAnsi"/>
          <w:bCs/>
          <w:color w:val="000000" w:themeColor="text1"/>
          <w:shd w:val="clear" w:color="auto" w:fill="FFFFFF"/>
        </w:rPr>
      </w:pPr>
      <w:r w:rsidRPr="008F3DB0">
        <w:rPr>
          <w:rStyle w:val="num"/>
          <w:rFonts w:asciiTheme="majorHAnsi" w:hAnsiTheme="majorHAnsi" w:cstheme="majorHAnsi"/>
          <w:bCs/>
          <w:color w:val="000000" w:themeColor="text1"/>
          <w:shd w:val="clear" w:color="auto" w:fill="FFFFFF"/>
        </w:rPr>
        <w:t>(</w:t>
      </w:r>
      <w:hyperlink r:id="rId31" w:history="1">
        <w:r w:rsidRPr="008F3DB0">
          <w:rPr>
            <w:rStyle w:val="Hyperlink"/>
            <w:rFonts w:asciiTheme="majorHAnsi" w:hAnsiTheme="majorHAnsi" w:cstheme="majorHAnsi"/>
          </w:rPr>
          <w:t>https://www.law.cornell.edu/uscode/text/42/300g-3</w:t>
        </w:r>
      </w:hyperlink>
      <w:r w:rsidRPr="008F3DB0">
        <w:rPr>
          <w:rStyle w:val="num"/>
          <w:rFonts w:asciiTheme="majorHAnsi" w:hAnsiTheme="majorHAnsi" w:cstheme="majorHAnsi"/>
          <w:bCs/>
          <w:color w:val="000000" w:themeColor="text1"/>
          <w:shd w:val="clear" w:color="auto" w:fill="FFFFFF"/>
        </w:rPr>
        <w:t>)</w:t>
      </w:r>
    </w:p>
    <w:p w14:paraId="515FF6CF" w14:textId="77777777" w:rsidR="0022227B" w:rsidRPr="008F3DB0" w:rsidRDefault="0022227B" w:rsidP="0022227B">
      <w:pPr>
        <w:spacing w:after="0"/>
        <w:rPr>
          <w:rStyle w:val="num"/>
          <w:rFonts w:asciiTheme="majorHAnsi" w:hAnsiTheme="majorHAnsi" w:cstheme="majorHAnsi"/>
          <w:b/>
          <w:bCs/>
          <w:color w:val="000000" w:themeColor="text1"/>
          <w:shd w:val="clear" w:color="auto" w:fill="FFFFFF"/>
        </w:rPr>
      </w:pPr>
    </w:p>
    <w:p w14:paraId="698C376B" w14:textId="77777777" w:rsidR="0022227B" w:rsidRPr="00F21C46" w:rsidRDefault="0022227B" w:rsidP="0022227B">
      <w:pPr>
        <w:spacing w:after="0"/>
        <w:rPr>
          <w:rStyle w:val="num"/>
          <w:rFonts w:asciiTheme="majorHAnsi" w:hAnsiTheme="majorHAnsi" w:cstheme="majorHAnsi"/>
          <w:b/>
          <w:bCs/>
          <w:color w:val="000000" w:themeColor="text1"/>
          <w:sz w:val="20"/>
          <w:shd w:val="clear" w:color="auto" w:fill="FFFFFF"/>
        </w:rPr>
      </w:pPr>
      <w:r w:rsidRPr="00F21C46">
        <w:rPr>
          <w:rStyle w:val="num"/>
          <w:rFonts w:asciiTheme="majorHAnsi" w:hAnsiTheme="majorHAnsi" w:cstheme="majorHAnsi"/>
          <w:b/>
          <w:bCs/>
          <w:color w:val="000000" w:themeColor="text1"/>
          <w:sz w:val="20"/>
          <w:shd w:val="clear" w:color="auto" w:fill="FFFFFF"/>
        </w:rPr>
        <w:t>42 USC 300G–3. Enforcement of Drinking Water Regulations</w:t>
      </w:r>
    </w:p>
    <w:p w14:paraId="4336E401" w14:textId="77777777" w:rsidR="0022227B" w:rsidRPr="00F21C46" w:rsidRDefault="0022227B" w:rsidP="0022227B">
      <w:pPr>
        <w:rPr>
          <w:rStyle w:val="num"/>
          <w:rFonts w:asciiTheme="majorHAnsi" w:hAnsiTheme="majorHAnsi" w:cstheme="majorHAnsi"/>
          <w:b/>
          <w:bCs/>
          <w:color w:val="000000" w:themeColor="text1"/>
          <w:sz w:val="20"/>
          <w:shd w:val="clear" w:color="auto" w:fill="FFFFFF"/>
        </w:rPr>
      </w:pPr>
      <w:r w:rsidRPr="00F21C46">
        <w:rPr>
          <w:rStyle w:val="num"/>
          <w:rFonts w:asciiTheme="majorHAnsi" w:hAnsiTheme="majorHAnsi" w:cstheme="majorHAnsi"/>
          <w:b/>
          <w:bCs/>
          <w:color w:val="000000" w:themeColor="text1"/>
          <w:sz w:val="20"/>
          <w:shd w:val="clear" w:color="auto" w:fill="FFFFFF"/>
        </w:rPr>
        <w:t>…</w:t>
      </w:r>
    </w:p>
    <w:p w14:paraId="0BC0DC7C" w14:textId="5B1AE972" w:rsidR="009D6D2B" w:rsidRPr="00F21C46" w:rsidRDefault="009D6D2B" w:rsidP="0022227B">
      <w:pPr>
        <w:rPr>
          <w:rStyle w:val="num"/>
          <w:rFonts w:asciiTheme="majorHAnsi" w:hAnsiTheme="majorHAnsi" w:cstheme="majorHAnsi"/>
          <w:color w:val="000000"/>
          <w:sz w:val="20"/>
        </w:rPr>
      </w:pPr>
      <w:r w:rsidRPr="00F21C46">
        <w:rPr>
          <w:rFonts w:asciiTheme="majorHAnsi" w:hAnsiTheme="majorHAnsi" w:cstheme="majorHAnsi"/>
          <w:color w:val="000000"/>
          <w:sz w:val="20"/>
        </w:rPr>
        <w:t>(4)  Goals and standards.—</w:t>
      </w:r>
      <w:r w:rsidRPr="00F21C46">
        <w:rPr>
          <w:rStyle w:val="num"/>
          <w:rFonts w:asciiTheme="majorHAnsi" w:hAnsiTheme="majorHAnsi" w:cstheme="majorHAnsi"/>
          <w:color w:val="000000"/>
          <w:sz w:val="20"/>
        </w:rPr>
        <w:t xml:space="preserve"> </w:t>
      </w:r>
    </w:p>
    <w:p w14:paraId="532B4938" w14:textId="24F22F1A" w:rsidR="0022227B" w:rsidRPr="00F21C46" w:rsidRDefault="0022227B" w:rsidP="0022227B">
      <w:pPr>
        <w:rPr>
          <w:rFonts w:asciiTheme="majorHAnsi" w:hAnsiTheme="majorHAnsi" w:cstheme="majorHAnsi"/>
          <w:sz w:val="20"/>
        </w:rPr>
      </w:pPr>
      <w:r w:rsidRPr="00F21C46">
        <w:rPr>
          <w:rStyle w:val="num"/>
          <w:rFonts w:asciiTheme="majorHAnsi" w:hAnsiTheme="majorHAnsi" w:cstheme="majorHAnsi"/>
          <w:b/>
          <w:bCs/>
          <w:color w:val="333333"/>
          <w:sz w:val="20"/>
          <w:shd w:val="clear" w:color="auto" w:fill="FFFFFF"/>
        </w:rPr>
        <w:t>(E)</w:t>
      </w:r>
      <w:r w:rsidR="009D6D2B" w:rsidRPr="00F21C46">
        <w:rPr>
          <w:rStyle w:val="num"/>
          <w:rFonts w:asciiTheme="majorHAnsi" w:hAnsiTheme="majorHAnsi" w:cstheme="majorHAnsi"/>
          <w:b/>
          <w:bCs/>
          <w:color w:val="333333"/>
          <w:sz w:val="20"/>
          <w:shd w:val="clear" w:color="auto" w:fill="FFFFFF"/>
        </w:rPr>
        <w:t xml:space="preserve">  </w:t>
      </w:r>
      <w:r w:rsidRPr="00F21C46">
        <w:rPr>
          <w:rStyle w:val="heading"/>
          <w:rFonts w:asciiTheme="majorHAnsi" w:hAnsiTheme="majorHAnsi" w:cstheme="majorHAnsi"/>
          <w:color w:val="333333"/>
          <w:sz w:val="20"/>
          <w:shd w:val="clear" w:color="auto" w:fill="FFFFFF"/>
        </w:rPr>
        <w:t>Feasible technologies.—</w:t>
      </w:r>
    </w:p>
    <w:p w14:paraId="3EA4BE2A" w14:textId="27A51E43" w:rsidR="0022227B" w:rsidRPr="00F21C46" w:rsidRDefault="0022227B" w:rsidP="004F1160">
      <w:pPr>
        <w:shd w:val="clear" w:color="auto" w:fill="FFFFFF"/>
        <w:ind w:left="720"/>
        <w:rPr>
          <w:rFonts w:asciiTheme="majorHAnsi" w:hAnsiTheme="majorHAnsi" w:cstheme="majorHAnsi"/>
          <w:color w:val="333333"/>
          <w:sz w:val="20"/>
        </w:rPr>
      </w:pPr>
      <w:bookmarkStart w:id="12" w:name="b_4_E_i"/>
      <w:bookmarkEnd w:id="12"/>
      <w:r w:rsidRPr="00F21C46">
        <w:rPr>
          <w:rStyle w:val="num"/>
          <w:rFonts w:asciiTheme="majorHAnsi" w:hAnsiTheme="majorHAnsi" w:cstheme="majorHAnsi"/>
          <w:b/>
          <w:bCs/>
          <w:color w:val="333333"/>
          <w:sz w:val="20"/>
        </w:rPr>
        <w:t>(i)</w:t>
      </w:r>
      <w:r w:rsidR="005F610B" w:rsidRPr="00F21C46">
        <w:rPr>
          <w:rStyle w:val="num"/>
          <w:rFonts w:asciiTheme="majorHAnsi" w:hAnsiTheme="majorHAnsi" w:cstheme="majorHAnsi"/>
          <w:b/>
          <w:bCs/>
          <w:color w:val="333333"/>
          <w:sz w:val="20"/>
        </w:rPr>
        <w:t xml:space="preserve">  </w:t>
      </w:r>
      <w:r w:rsidRPr="00F21C46">
        <w:rPr>
          <w:rStyle w:val="heading"/>
          <w:rFonts w:asciiTheme="majorHAnsi" w:hAnsiTheme="majorHAnsi" w:cstheme="majorHAnsi"/>
          <w:color w:val="333333"/>
          <w:sz w:val="20"/>
        </w:rPr>
        <w:t>In general.—</w:t>
      </w:r>
    </w:p>
    <w:p w14:paraId="51201C69" w14:textId="68E265B0" w:rsidR="0022227B" w:rsidRPr="00F21C46" w:rsidRDefault="0022227B" w:rsidP="004F1160">
      <w:pPr>
        <w:shd w:val="clear" w:color="auto" w:fill="FFFFFF"/>
        <w:ind w:left="720"/>
        <w:rPr>
          <w:rFonts w:asciiTheme="majorHAnsi" w:hAnsiTheme="majorHAnsi" w:cstheme="majorHAnsi"/>
          <w:color w:val="333333"/>
          <w:sz w:val="20"/>
        </w:rPr>
      </w:pPr>
      <w:r w:rsidRPr="00F21C46">
        <w:rPr>
          <w:rFonts w:asciiTheme="majorHAnsi" w:hAnsiTheme="majorHAnsi" w:cstheme="majorHAnsi"/>
          <w:color w:val="333333"/>
          <w:sz w:val="20"/>
        </w:rPr>
        <w:t>Each national </w:t>
      </w:r>
      <w:hyperlink r:id="rId32" w:history="1">
        <w:r w:rsidRPr="00F21C46">
          <w:rPr>
            <w:rStyle w:val="Hyperlink"/>
            <w:rFonts w:asciiTheme="majorHAnsi" w:hAnsiTheme="majorHAnsi" w:cstheme="majorHAnsi"/>
            <w:color w:val="337AB7"/>
            <w:sz w:val="20"/>
          </w:rPr>
          <w:t>primary drinking water regulation</w:t>
        </w:r>
      </w:hyperlink>
      <w:r w:rsidRPr="00F21C46">
        <w:rPr>
          <w:rFonts w:asciiTheme="majorHAnsi" w:hAnsiTheme="majorHAnsi" w:cstheme="majorHAnsi"/>
          <w:color w:val="333333"/>
          <w:sz w:val="20"/>
        </w:rPr>
        <w:t> which establishes a</w:t>
      </w:r>
      <w:r w:rsidR="005F610B" w:rsidRPr="00F21C46">
        <w:rPr>
          <w:rFonts w:asciiTheme="majorHAnsi" w:hAnsiTheme="majorHAnsi" w:cstheme="majorHAnsi"/>
          <w:color w:val="333333"/>
          <w:sz w:val="20"/>
        </w:rPr>
        <w:t xml:space="preserve"> </w:t>
      </w:r>
      <w:hyperlink r:id="rId33" w:history="1">
        <w:r w:rsidRPr="00F21C46">
          <w:rPr>
            <w:rStyle w:val="Hyperlink"/>
            <w:rFonts w:asciiTheme="majorHAnsi" w:hAnsiTheme="majorHAnsi" w:cstheme="majorHAnsi"/>
            <w:color w:val="337AB7"/>
            <w:sz w:val="20"/>
          </w:rPr>
          <w:t>maximum contaminant level </w:t>
        </w:r>
      </w:hyperlink>
      <w:r w:rsidRPr="00F21C46">
        <w:rPr>
          <w:rFonts w:asciiTheme="majorHAnsi" w:hAnsiTheme="majorHAnsi" w:cstheme="majorHAnsi"/>
          <w:color w:val="333333"/>
          <w:sz w:val="20"/>
        </w:rPr>
        <w:t>shall list the technology,</w:t>
      </w:r>
      <w:hyperlink r:id="rId34" w:history="1">
        <w:r w:rsidRPr="00F21C46">
          <w:rPr>
            <w:rStyle w:val="Hyperlink"/>
            <w:rFonts w:asciiTheme="majorHAnsi" w:hAnsiTheme="majorHAnsi" w:cstheme="majorHAnsi"/>
            <w:color w:val="337AB7"/>
            <w:sz w:val="20"/>
          </w:rPr>
          <w:t> treatment</w:t>
        </w:r>
      </w:hyperlink>
      <w:r w:rsidR="005F610B" w:rsidRPr="00F21C46">
        <w:rPr>
          <w:rStyle w:val="Hyperlink"/>
          <w:rFonts w:asciiTheme="majorHAnsi" w:hAnsiTheme="majorHAnsi" w:cstheme="majorHAnsi"/>
          <w:color w:val="337AB7"/>
          <w:sz w:val="20"/>
        </w:rPr>
        <w:t xml:space="preserve"> </w:t>
      </w:r>
      <w:r w:rsidRPr="00F21C46">
        <w:rPr>
          <w:rFonts w:asciiTheme="majorHAnsi" w:hAnsiTheme="majorHAnsi" w:cstheme="majorHAnsi"/>
          <w:color w:val="333333"/>
          <w:sz w:val="20"/>
        </w:rPr>
        <w:t>techniques, and other</w:t>
      </w:r>
      <w:hyperlink r:id="rId35" w:history="1">
        <w:r w:rsidRPr="00F21C46">
          <w:rPr>
            <w:rStyle w:val="Hyperlink"/>
            <w:rFonts w:asciiTheme="majorHAnsi" w:hAnsiTheme="majorHAnsi" w:cstheme="majorHAnsi"/>
            <w:color w:val="337AB7"/>
            <w:sz w:val="20"/>
          </w:rPr>
          <w:t> means </w:t>
        </w:r>
      </w:hyperlink>
      <w:r w:rsidRPr="00F21C46">
        <w:rPr>
          <w:rFonts w:asciiTheme="majorHAnsi" w:hAnsiTheme="majorHAnsi" w:cstheme="majorHAnsi"/>
          <w:color w:val="333333"/>
          <w:sz w:val="20"/>
        </w:rPr>
        <w:t>which the</w:t>
      </w:r>
      <w:hyperlink r:id="rId36" w:history="1">
        <w:r w:rsidRPr="00F21C46">
          <w:rPr>
            <w:rStyle w:val="Hyperlink"/>
            <w:rFonts w:asciiTheme="majorHAnsi" w:hAnsiTheme="majorHAnsi" w:cstheme="majorHAnsi"/>
            <w:color w:val="337AB7"/>
            <w:sz w:val="20"/>
          </w:rPr>
          <w:t> Administrator </w:t>
        </w:r>
      </w:hyperlink>
      <w:r w:rsidRPr="00F21C46">
        <w:rPr>
          <w:rFonts w:asciiTheme="majorHAnsi" w:hAnsiTheme="majorHAnsi" w:cstheme="majorHAnsi"/>
          <w:color w:val="333333"/>
          <w:sz w:val="20"/>
        </w:rPr>
        <w:t>finds to be</w:t>
      </w:r>
      <w:hyperlink r:id="rId37" w:history="1">
        <w:r w:rsidRPr="00F21C46">
          <w:rPr>
            <w:rStyle w:val="Hyperlink"/>
            <w:rFonts w:asciiTheme="majorHAnsi" w:hAnsiTheme="majorHAnsi" w:cstheme="majorHAnsi"/>
            <w:color w:val="337AB7"/>
            <w:sz w:val="20"/>
          </w:rPr>
          <w:t> feasible</w:t>
        </w:r>
      </w:hyperlink>
      <w:r w:rsidR="005F610B" w:rsidRPr="00F21C46">
        <w:rPr>
          <w:rStyle w:val="Hyperlink"/>
          <w:rFonts w:asciiTheme="majorHAnsi" w:hAnsiTheme="majorHAnsi" w:cstheme="majorHAnsi"/>
          <w:color w:val="337AB7"/>
          <w:sz w:val="20"/>
        </w:rPr>
        <w:t xml:space="preserve"> </w:t>
      </w:r>
      <w:r w:rsidRPr="00F21C46">
        <w:rPr>
          <w:rFonts w:asciiTheme="majorHAnsi" w:hAnsiTheme="majorHAnsi" w:cstheme="majorHAnsi"/>
          <w:color w:val="333333"/>
          <w:sz w:val="20"/>
        </w:rPr>
        <w:t>for purposes of meeting such</w:t>
      </w:r>
      <w:hyperlink r:id="rId38" w:history="1">
        <w:r w:rsidRPr="00F21C46">
          <w:rPr>
            <w:rStyle w:val="Hyperlink"/>
            <w:rFonts w:asciiTheme="majorHAnsi" w:hAnsiTheme="majorHAnsi" w:cstheme="majorHAnsi"/>
            <w:color w:val="337AB7"/>
            <w:sz w:val="20"/>
          </w:rPr>
          <w:t> maximum contaminant level,</w:t>
        </w:r>
      </w:hyperlink>
      <w:r w:rsidRPr="00F21C46">
        <w:rPr>
          <w:rFonts w:asciiTheme="majorHAnsi" w:hAnsiTheme="majorHAnsi" w:cstheme="majorHAnsi"/>
          <w:color w:val="333333"/>
          <w:sz w:val="20"/>
        </w:rPr>
        <w:t> but a regulation under this subsection shall not require that any specified technology,</w:t>
      </w:r>
      <w:r w:rsidR="005F610B" w:rsidRPr="00F21C46">
        <w:rPr>
          <w:rFonts w:asciiTheme="majorHAnsi" w:hAnsiTheme="majorHAnsi" w:cstheme="majorHAnsi"/>
          <w:color w:val="333333"/>
          <w:sz w:val="20"/>
        </w:rPr>
        <w:t xml:space="preserve"> </w:t>
      </w:r>
      <w:hyperlink r:id="rId39" w:history="1">
        <w:r w:rsidRPr="00F21C46">
          <w:rPr>
            <w:rStyle w:val="Hyperlink"/>
            <w:rFonts w:asciiTheme="majorHAnsi" w:hAnsiTheme="majorHAnsi" w:cstheme="majorHAnsi"/>
            <w:color w:val="337AB7"/>
            <w:sz w:val="20"/>
          </w:rPr>
          <w:t>treatment </w:t>
        </w:r>
      </w:hyperlink>
      <w:r w:rsidRPr="00F21C46">
        <w:rPr>
          <w:rFonts w:asciiTheme="majorHAnsi" w:hAnsiTheme="majorHAnsi" w:cstheme="majorHAnsi"/>
          <w:color w:val="333333"/>
          <w:sz w:val="20"/>
        </w:rPr>
        <w:t>technique, or other</w:t>
      </w:r>
      <w:hyperlink r:id="rId40" w:history="1">
        <w:r w:rsidRPr="00F21C46">
          <w:rPr>
            <w:rStyle w:val="Hyperlink"/>
            <w:rFonts w:asciiTheme="majorHAnsi" w:hAnsiTheme="majorHAnsi" w:cstheme="majorHAnsi"/>
            <w:color w:val="337AB7"/>
            <w:sz w:val="20"/>
          </w:rPr>
          <w:t> means </w:t>
        </w:r>
      </w:hyperlink>
      <w:r w:rsidRPr="00F21C46">
        <w:rPr>
          <w:rFonts w:asciiTheme="majorHAnsi" w:hAnsiTheme="majorHAnsi" w:cstheme="majorHAnsi"/>
          <w:color w:val="333333"/>
          <w:sz w:val="20"/>
        </w:rPr>
        <w:t>be used for purposes of meeting such</w:t>
      </w:r>
      <w:r w:rsidR="005F610B" w:rsidRPr="00F21C46">
        <w:rPr>
          <w:rFonts w:asciiTheme="majorHAnsi" w:hAnsiTheme="majorHAnsi" w:cstheme="majorHAnsi"/>
          <w:color w:val="333333"/>
          <w:sz w:val="20"/>
        </w:rPr>
        <w:t xml:space="preserve"> </w:t>
      </w:r>
      <w:hyperlink r:id="rId41" w:history="1">
        <w:r w:rsidRPr="00F21C46">
          <w:rPr>
            <w:rStyle w:val="Hyperlink"/>
            <w:rFonts w:asciiTheme="majorHAnsi" w:hAnsiTheme="majorHAnsi" w:cstheme="majorHAnsi"/>
            <w:color w:val="337AB7"/>
            <w:sz w:val="20"/>
          </w:rPr>
          <w:t>maximum contaminant level.</w:t>
        </w:r>
      </w:hyperlink>
    </w:p>
    <w:p w14:paraId="57EEC91A" w14:textId="23C7E040" w:rsidR="0022227B" w:rsidRPr="00F21C46" w:rsidRDefault="0022227B" w:rsidP="004F1160">
      <w:pPr>
        <w:shd w:val="clear" w:color="auto" w:fill="FFFFFF"/>
        <w:ind w:left="720"/>
        <w:rPr>
          <w:rFonts w:asciiTheme="majorHAnsi" w:hAnsiTheme="majorHAnsi" w:cstheme="majorHAnsi"/>
          <w:color w:val="333333"/>
          <w:sz w:val="20"/>
        </w:rPr>
      </w:pPr>
      <w:bookmarkStart w:id="13" w:name="b_4_E_ii"/>
      <w:bookmarkEnd w:id="13"/>
      <w:r w:rsidRPr="00F21C46">
        <w:rPr>
          <w:rStyle w:val="num"/>
          <w:rFonts w:asciiTheme="majorHAnsi" w:hAnsiTheme="majorHAnsi" w:cstheme="majorHAnsi"/>
          <w:b/>
          <w:bCs/>
          <w:color w:val="333333"/>
          <w:sz w:val="20"/>
        </w:rPr>
        <w:t>(ii)</w:t>
      </w:r>
      <w:r w:rsidR="00DF3AD3" w:rsidRPr="00F21C46">
        <w:rPr>
          <w:rStyle w:val="num"/>
          <w:rFonts w:asciiTheme="majorHAnsi" w:hAnsiTheme="majorHAnsi" w:cstheme="majorHAnsi"/>
          <w:b/>
          <w:bCs/>
          <w:color w:val="333333"/>
          <w:sz w:val="20"/>
        </w:rPr>
        <w:t xml:space="preserve">  </w:t>
      </w:r>
      <w:r w:rsidRPr="00F21C46">
        <w:rPr>
          <w:rStyle w:val="heading"/>
          <w:rFonts w:asciiTheme="majorHAnsi" w:hAnsiTheme="majorHAnsi" w:cstheme="majorHAnsi"/>
          <w:color w:val="333333"/>
          <w:sz w:val="20"/>
        </w:rPr>
        <w:t>List of technologies for small systems.—</w:t>
      </w:r>
      <w:r w:rsidRPr="00F21C46">
        <w:rPr>
          <w:rStyle w:val="chapeau"/>
          <w:rFonts w:asciiTheme="majorHAnsi" w:hAnsiTheme="majorHAnsi" w:cstheme="majorHAnsi"/>
          <w:color w:val="333333"/>
          <w:sz w:val="20"/>
        </w:rPr>
        <w:t>The Administrator shall include in the list any technology, treatment technique, or other means that is affordable, as determined by the Administrator in consultation with the</w:t>
      </w:r>
      <w:r w:rsidR="003B2F91" w:rsidRPr="00F21C46">
        <w:rPr>
          <w:rStyle w:val="chapeau"/>
          <w:rFonts w:asciiTheme="majorHAnsi" w:hAnsiTheme="majorHAnsi" w:cstheme="majorHAnsi"/>
          <w:color w:val="333333"/>
          <w:sz w:val="20"/>
        </w:rPr>
        <w:t xml:space="preserve"> </w:t>
      </w:r>
      <w:r w:rsidRPr="00F21C46">
        <w:rPr>
          <w:rStyle w:val="chapeau"/>
          <w:rFonts w:asciiTheme="majorHAnsi" w:hAnsiTheme="majorHAnsi" w:cstheme="majorHAnsi"/>
          <w:color w:val="333333"/>
          <w:sz w:val="20"/>
        </w:rPr>
        <w:t>States, for small public water systems serving—</w:t>
      </w:r>
    </w:p>
    <w:p w14:paraId="38A73359" w14:textId="7C72BFA2" w:rsidR="0022227B" w:rsidRPr="00F21C46" w:rsidRDefault="0022227B" w:rsidP="00DF3AD3">
      <w:pPr>
        <w:pStyle w:val="ListParagraph"/>
        <w:numPr>
          <w:ilvl w:val="0"/>
          <w:numId w:val="4"/>
        </w:numPr>
        <w:shd w:val="clear" w:color="auto" w:fill="FFFFFF"/>
        <w:ind w:left="1530" w:hanging="360"/>
        <w:rPr>
          <w:rFonts w:asciiTheme="majorHAnsi" w:hAnsiTheme="majorHAnsi" w:cstheme="majorHAnsi"/>
          <w:color w:val="333333"/>
          <w:sz w:val="20"/>
        </w:rPr>
      </w:pPr>
      <w:bookmarkStart w:id="14" w:name="b_4_E_ii_I"/>
      <w:bookmarkEnd w:id="14"/>
      <w:r w:rsidRPr="00F21C46">
        <w:rPr>
          <w:rFonts w:asciiTheme="majorHAnsi" w:hAnsiTheme="majorHAnsi" w:cstheme="majorHAnsi"/>
          <w:color w:val="333333"/>
          <w:sz w:val="20"/>
        </w:rPr>
        <w:t>a population of 10,000 or fewer but more than 3,300;</w:t>
      </w:r>
    </w:p>
    <w:p w14:paraId="4D7CFD7C" w14:textId="14A025D6" w:rsidR="0022227B" w:rsidRPr="00F21C46" w:rsidRDefault="0022227B" w:rsidP="00DF3AD3">
      <w:pPr>
        <w:pStyle w:val="ListParagraph"/>
        <w:numPr>
          <w:ilvl w:val="0"/>
          <w:numId w:val="4"/>
        </w:numPr>
        <w:shd w:val="clear" w:color="auto" w:fill="FFFFFF"/>
        <w:ind w:left="1530" w:hanging="360"/>
        <w:rPr>
          <w:rFonts w:asciiTheme="majorHAnsi" w:hAnsiTheme="majorHAnsi" w:cstheme="majorHAnsi"/>
          <w:color w:val="333333"/>
          <w:sz w:val="20"/>
        </w:rPr>
      </w:pPr>
      <w:bookmarkStart w:id="15" w:name="b_4_E_ii_II"/>
      <w:bookmarkEnd w:id="15"/>
      <w:r w:rsidRPr="00F21C46">
        <w:rPr>
          <w:rFonts w:asciiTheme="majorHAnsi" w:hAnsiTheme="majorHAnsi" w:cstheme="majorHAnsi"/>
          <w:color w:val="333333"/>
          <w:sz w:val="20"/>
        </w:rPr>
        <w:t>a population of 3,300 or fewer but more than 500; and</w:t>
      </w:r>
    </w:p>
    <w:p w14:paraId="046013FF" w14:textId="211FEB0C" w:rsidR="0022227B" w:rsidRPr="00F21C46" w:rsidRDefault="0022227B" w:rsidP="00DF3AD3">
      <w:pPr>
        <w:pStyle w:val="ListParagraph"/>
        <w:numPr>
          <w:ilvl w:val="0"/>
          <w:numId w:val="4"/>
        </w:numPr>
        <w:shd w:val="clear" w:color="auto" w:fill="FFFFFF"/>
        <w:ind w:left="1530" w:hanging="360"/>
        <w:rPr>
          <w:rFonts w:asciiTheme="majorHAnsi" w:hAnsiTheme="majorHAnsi" w:cstheme="majorHAnsi"/>
          <w:color w:val="333333"/>
          <w:sz w:val="20"/>
        </w:rPr>
      </w:pPr>
      <w:bookmarkStart w:id="16" w:name="b_4_E_ii_III"/>
      <w:bookmarkEnd w:id="16"/>
      <w:r w:rsidRPr="00F21C46">
        <w:rPr>
          <w:rFonts w:asciiTheme="majorHAnsi" w:hAnsiTheme="majorHAnsi" w:cstheme="majorHAnsi"/>
          <w:color w:val="333333"/>
          <w:sz w:val="20"/>
        </w:rPr>
        <w:t>a population of 500 or fewer but more than 25;</w:t>
      </w:r>
    </w:p>
    <w:p w14:paraId="74EBD2FC" w14:textId="517016F4" w:rsidR="0022227B" w:rsidRPr="00F21C46" w:rsidRDefault="0022227B" w:rsidP="003B2F91">
      <w:pPr>
        <w:shd w:val="clear" w:color="auto" w:fill="FFFFFF"/>
        <w:ind w:left="720"/>
        <w:rPr>
          <w:rFonts w:asciiTheme="majorHAnsi" w:hAnsiTheme="majorHAnsi" w:cstheme="majorHAnsi"/>
          <w:color w:val="333333"/>
          <w:sz w:val="20"/>
        </w:rPr>
      </w:pPr>
      <w:r w:rsidRPr="00F21C46">
        <w:rPr>
          <w:rFonts w:asciiTheme="majorHAnsi" w:hAnsiTheme="majorHAnsi" w:cstheme="majorHAnsi"/>
          <w:color w:val="333333"/>
          <w:sz w:val="20"/>
        </w:rPr>
        <w:t>and that achieves compliance with the maximum contaminant level or</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 xml:space="preserve">treatment technique, including packaged or modular systems and point-of-entry or point-of-use treatment units. </w:t>
      </w:r>
      <w:r w:rsidRPr="00F21C46">
        <w:rPr>
          <w:rFonts w:asciiTheme="majorHAnsi" w:hAnsiTheme="majorHAnsi" w:cstheme="majorHAnsi"/>
          <w:b/>
          <w:color w:val="333333"/>
          <w:sz w:val="20"/>
        </w:rPr>
        <w:t>Point-of-entry and point-of-use treatment units shall be owned, controlled and maintained by the public water system or by a person under contract with the public water system to ensure proper operation and maintenance and compliance with the maximum contaminant level or treatment</w:t>
      </w:r>
      <w:r w:rsidR="003B2F91" w:rsidRPr="00F21C46">
        <w:rPr>
          <w:rFonts w:asciiTheme="majorHAnsi" w:hAnsiTheme="majorHAnsi" w:cstheme="majorHAnsi"/>
          <w:b/>
          <w:color w:val="333333"/>
          <w:sz w:val="20"/>
        </w:rPr>
        <w:t xml:space="preserve"> </w:t>
      </w:r>
      <w:r w:rsidRPr="00F21C46">
        <w:rPr>
          <w:rFonts w:asciiTheme="majorHAnsi" w:hAnsiTheme="majorHAnsi" w:cstheme="majorHAnsi"/>
          <w:b/>
          <w:color w:val="333333"/>
          <w:sz w:val="20"/>
        </w:rPr>
        <w:t>technique and equipped with mechanical warnings to ensure that</w:t>
      </w:r>
      <w:r w:rsidR="003B2F91" w:rsidRPr="00F21C46">
        <w:rPr>
          <w:rFonts w:asciiTheme="majorHAnsi" w:hAnsiTheme="majorHAnsi" w:cstheme="majorHAnsi"/>
          <w:b/>
          <w:color w:val="333333"/>
          <w:sz w:val="20"/>
        </w:rPr>
        <w:t xml:space="preserve"> </w:t>
      </w:r>
      <w:r w:rsidRPr="00F21C46">
        <w:rPr>
          <w:rFonts w:asciiTheme="majorHAnsi" w:hAnsiTheme="majorHAnsi" w:cstheme="majorHAnsi"/>
          <w:b/>
          <w:color w:val="333333"/>
          <w:sz w:val="20"/>
        </w:rPr>
        <w:t>customers are automatically notified of operational problems.</w:t>
      </w:r>
      <w:r w:rsidRPr="00F21C46">
        <w:rPr>
          <w:rFonts w:asciiTheme="majorHAnsi" w:hAnsiTheme="majorHAnsi" w:cstheme="majorHAnsi"/>
          <w:color w:val="333333"/>
          <w:sz w:val="20"/>
        </w:rPr>
        <w:t xml:space="preserve"> The</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Administrator shall not include in the list any point-of-use treatment</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technology, treatment technique, or other means to achieve compliance with a maximum contaminant level or treatment technique requirement for a microbial contaminant (or an indicator of a microbial</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contaminant). If the American National Standards Institute has issued product standards applicable to a specific type of point-of-entry or point-of-use treatment unit, individual units of that type shall not be accepted for compliance with a maximum contaminant level or</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treatment technique requirement unless they are independently certified in accordance with such standards. In listing any technology,</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treatment technique, or other means pursuant to this clause, the</w:t>
      </w:r>
      <w:r w:rsidR="003B2F91" w:rsidRPr="00F21C46">
        <w:rPr>
          <w:rFonts w:asciiTheme="majorHAnsi" w:hAnsiTheme="majorHAnsi" w:cstheme="majorHAnsi"/>
          <w:color w:val="333333"/>
          <w:sz w:val="20"/>
        </w:rPr>
        <w:t xml:space="preserve"> </w:t>
      </w:r>
      <w:r w:rsidRPr="00F21C46">
        <w:rPr>
          <w:rFonts w:asciiTheme="majorHAnsi" w:hAnsiTheme="majorHAnsi" w:cstheme="majorHAnsi"/>
          <w:color w:val="333333"/>
          <w:sz w:val="20"/>
        </w:rPr>
        <w:t>Administrator shall consider the quality of the source water to be treated.</w:t>
      </w:r>
    </w:p>
    <w:p w14:paraId="7CE1F380" w14:textId="77777777" w:rsidR="0022227B" w:rsidRPr="002E1339" w:rsidRDefault="0022227B" w:rsidP="002E1339">
      <w:pPr>
        <w:pStyle w:val="Default"/>
        <w:rPr>
          <w:rFonts w:asciiTheme="majorHAnsi" w:hAnsiTheme="majorHAnsi" w:cstheme="majorHAnsi"/>
          <w:sz w:val="20"/>
          <w:szCs w:val="22"/>
        </w:rPr>
      </w:pPr>
    </w:p>
    <w:sectPr w:rsidR="0022227B" w:rsidRPr="002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3A71"/>
    <w:multiLevelType w:val="hybridMultilevel"/>
    <w:tmpl w:val="130E7F5E"/>
    <w:lvl w:ilvl="0" w:tplc="E24637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B4642"/>
    <w:multiLevelType w:val="hybridMultilevel"/>
    <w:tmpl w:val="61904578"/>
    <w:lvl w:ilvl="0" w:tplc="70CA8358">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6D37AF"/>
    <w:multiLevelType w:val="hybridMultilevel"/>
    <w:tmpl w:val="54D4D17E"/>
    <w:lvl w:ilvl="0" w:tplc="FA309C58">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CC762F"/>
    <w:multiLevelType w:val="hybridMultilevel"/>
    <w:tmpl w:val="B0C64AFE"/>
    <w:lvl w:ilvl="0" w:tplc="97808012">
      <w:start w:val="1"/>
      <w:numFmt w:val="upp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7D"/>
    <w:rsid w:val="00087E23"/>
    <w:rsid w:val="000C00E9"/>
    <w:rsid w:val="000E508C"/>
    <w:rsid w:val="00101CA8"/>
    <w:rsid w:val="00127C1D"/>
    <w:rsid w:val="00197E20"/>
    <w:rsid w:val="001A756E"/>
    <w:rsid w:val="001D0CD8"/>
    <w:rsid w:val="0022227B"/>
    <w:rsid w:val="00273A82"/>
    <w:rsid w:val="002E1339"/>
    <w:rsid w:val="003B2F91"/>
    <w:rsid w:val="004167E3"/>
    <w:rsid w:val="00494C7E"/>
    <w:rsid w:val="004D31DB"/>
    <w:rsid w:val="004F1160"/>
    <w:rsid w:val="005F610B"/>
    <w:rsid w:val="0065471E"/>
    <w:rsid w:val="00686FED"/>
    <w:rsid w:val="006F3ACD"/>
    <w:rsid w:val="007D45DA"/>
    <w:rsid w:val="007E5E7D"/>
    <w:rsid w:val="0081251D"/>
    <w:rsid w:val="008161D9"/>
    <w:rsid w:val="0085456C"/>
    <w:rsid w:val="00882C94"/>
    <w:rsid w:val="008F3DB0"/>
    <w:rsid w:val="00910E7F"/>
    <w:rsid w:val="009D6D2B"/>
    <w:rsid w:val="00A040F0"/>
    <w:rsid w:val="00A074EF"/>
    <w:rsid w:val="00AB2D1F"/>
    <w:rsid w:val="00AD24F9"/>
    <w:rsid w:val="00B26E34"/>
    <w:rsid w:val="00B445EC"/>
    <w:rsid w:val="00D9548A"/>
    <w:rsid w:val="00DA274C"/>
    <w:rsid w:val="00DF3AD3"/>
    <w:rsid w:val="00E10E1C"/>
    <w:rsid w:val="00E855CF"/>
    <w:rsid w:val="00F21C46"/>
    <w:rsid w:val="00FB0BFB"/>
    <w:rsid w:val="00FE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E7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E5E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5E7D"/>
    <w:rPr>
      <w:color w:val="0000FF"/>
      <w:u w:val="single"/>
    </w:rPr>
  </w:style>
  <w:style w:type="character" w:customStyle="1" w:styleId="epub-state">
    <w:name w:val="epub-state"/>
    <w:basedOn w:val="DefaultParagraphFont"/>
    <w:rsid w:val="007E5E7D"/>
  </w:style>
  <w:style w:type="character" w:customStyle="1" w:styleId="epub-date">
    <w:name w:val="epub-date"/>
    <w:basedOn w:val="DefaultParagraphFont"/>
    <w:rsid w:val="007E5E7D"/>
  </w:style>
  <w:style w:type="character" w:customStyle="1" w:styleId="num">
    <w:name w:val="num"/>
    <w:basedOn w:val="DefaultParagraphFont"/>
    <w:rsid w:val="00494C7E"/>
  </w:style>
  <w:style w:type="character" w:customStyle="1" w:styleId="heading">
    <w:name w:val="heading"/>
    <w:basedOn w:val="DefaultParagraphFont"/>
    <w:rsid w:val="00494C7E"/>
  </w:style>
  <w:style w:type="character" w:customStyle="1" w:styleId="chapeau">
    <w:name w:val="chapeau"/>
    <w:basedOn w:val="DefaultParagraphFont"/>
    <w:rsid w:val="00494C7E"/>
  </w:style>
  <w:style w:type="paragraph" w:styleId="ListParagraph">
    <w:name w:val="List Paragraph"/>
    <w:basedOn w:val="Normal"/>
    <w:uiPriority w:val="34"/>
    <w:qFormat/>
    <w:rsid w:val="00127C1D"/>
    <w:pPr>
      <w:ind w:left="720"/>
      <w:contextualSpacing/>
    </w:pPr>
  </w:style>
  <w:style w:type="character" w:styleId="FollowedHyperlink">
    <w:name w:val="FollowedHyperlink"/>
    <w:basedOn w:val="DefaultParagraphFont"/>
    <w:uiPriority w:val="99"/>
    <w:semiHidden/>
    <w:unhideWhenUsed/>
    <w:rsid w:val="00AD24F9"/>
    <w:rPr>
      <w:color w:val="954F72" w:themeColor="followedHyperlink"/>
      <w:u w:val="single"/>
    </w:rPr>
  </w:style>
  <w:style w:type="paragraph" w:customStyle="1" w:styleId="psection-2">
    <w:name w:val="psection-2"/>
    <w:basedOn w:val="Normal"/>
    <w:rsid w:val="007D4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7D45DA"/>
  </w:style>
  <w:style w:type="paragraph" w:customStyle="1" w:styleId="psection-3">
    <w:name w:val="psection-3"/>
    <w:basedOn w:val="Normal"/>
    <w:rsid w:val="007D4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6547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E7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E5E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5E7D"/>
    <w:rPr>
      <w:color w:val="0000FF"/>
      <w:u w:val="single"/>
    </w:rPr>
  </w:style>
  <w:style w:type="character" w:customStyle="1" w:styleId="epub-state">
    <w:name w:val="epub-state"/>
    <w:basedOn w:val="DefaultParagraphFont"/>
    <w:rsid w:val="007E5E7D"/>
  </w:style>
  <w:style w:type="character" w:customStyle="1" w:styleId="epub-date">
    <w:name w:val="epub-date"/>
    <w:basedOn w:val="DefaultParagraphFont"/>
    <w:rsid w:val="007E5E7D"/>
  </w:style>
  <w:style w:type="character" w:customStyle="1" w:styleId="num">
    <w:name w:val="num"/>
    <w:basedOn w:val="DefaultParagraphFont"/>
    <w:rsid w:val="00494C7E"/>
  </w:style>
  <w:style w:type="character" w:customStyle="1" w:styleId="heading">
    <w:name w:val="heading"/>
    <w:basedOn w:val="DefaultParagraphFont"/>
    <w:rsid w:val="00494C7E"/>
  </w:style>
  <w:style w:type="character" w:customStyle="1" w:styleId="chapeau">
    <w:name w:val="chapeau"/>
    <w:basedOn w:val="DefaultParagraphFont"/>
    <w:rsid w:val="00494C7E"/>
  </w:style>
  <w:style w:type="paragraph" w:styleId="ListParagraph">
    <w:name w:val="List Paragraph"/>
    <w:basedOn w:val="Normal"/>
    <w:uiPriority w:val="34"/>
    <w:qFormat/>
    <w:rsid w:val="00127C1D"/>
    <w:pPr>
      <w:ind w:left="720"/>
      <w:contextualSpacing/>
    </w:pPr>
  </w:style>
  <w:style w:type="character" w:styleId="FollowedHyperlink">
    <w:name w:val="FollowedHyperlink"/>
    <w:basedOn w:val="DefaultParagraphFont"/>
    <w:uiPriority w:val="99"/>
    <w:semiHidden/>
    <w:unhideWhenUsed/>
    <w:rsid w:val="00AD24F9"/>
    <w:rPr>
      <w:color w:val="954F72" w:themeColor="followedHyperlink"/>
      <w:u w:val="single"/>
    </w:rPr>
  </w:style>
  <w:style w:type="paragraph" w:customStyle="1" w:styleId="psection-2">
    <w:name w:val="psection-2"/>
    <w:basedOn w:val="Normal"/>
    <w:rsid w:val="007D4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7D45DA"/>
  </w:style>
  <w:style w:type="paragraph" w:customStyle="1" w:styleId="psection-3">
    <w:name w:val="psection-3"/>
    <w:basedOn w:val="Normal"/>
    <w:rsid w:val="007D4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654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0972">
      <w:bodyDiv w:val="1"/>
      <w:marLeft w:val="0"/>
      <w:marRight w:val="0"/>
      <w:marTop w:val="0"/>
      <w:marBottom w:val="0"/>
      <w:divBdr>
        <w:top w:val="none" w:sz="0" w:space="0" w:color="auto"/>
        <w:left w:val="none" w:sz="0" w:space="0" w:color="auto"/>
        <w:bottom w:val="none" w:sz="0" w:space="0" w:color="auto"/>
        <w:right w:val="none" w:sz="0" w:space="0" w:color="auto"/>
      </w:divBdr>
    </w:div>
    <w:div w:id="904412781">
      <w:bodyDiv w:val="1"/>
      <w:marLeft w:val="0"/>
      <w:marRight w:val="0"/>
      <w:marTop w:val="0"/>
      <w:marBottom w:val="0"/>
      <w:divBdr>
        <w:top w:val="none" w:sz="0" w:space="0" w:color="auto"/>
        <w:left w:val="none" w:sz="0" w:space="0" w:color="auto"/>
        <w:bottom w:val="none" w:sz="0" w:space="0" w:color="auto"/>
        <w:right w:val="none" w:sz="0" w:space="0" w:color="auto"/>
      </w:divBdr>
      <w:divsChild>
        <w:div w:id="474496885">
          <w:marLeft w:val="0"/>
          <w:marRight w:val="0"/>
          <w:marTop w:val="225"/>
          <w:marBottom w:val="225"/>
          <w:divBdr>
            <w:top w:val="none" w:sz="0" w:space="0" w:color="auto"/>
            <w:left w:val="none" w:sz="0" w:space="0" w:color="auto"/>
            <w:bottom w:val="none" w:sz="0" w:space="0" w:color="auto"/>
            <w:right w:val="none" w:sz="0" w:space="0" w:color="auto"/>
          </w:divBdr>
          <w:divsChild>
            <w:div w:id="598493120">
              <w:marLeft w:val="0"/>
              <w:marRight w:val="0"/>
              <w:marTop w:val="0"/>
              <w:marBottom w:val="0"/>
              <w:divBdr>
                <w:top w:val="none" w:sz="0" w:space="0" w:color="auto"/>
                <w:left w:val="none" w:sz="0" w:space="0" w:color="auto"/>
                <w:bottom w:val="none" w:sz="0" w:space="0" w:color="auto"/>
                <w:right w:val="none" w:sz="0" w:space="0" w:color="auto"/>
              </w:divBdr>
              <w:divsChild>
                <w:div w:id="503935969">
                  <w:marLeft w:val="0"/>
                  <w:marRight w:val="0"/>
                  <w:marTop w:val="0"/>
                  <w:marBottom w:val="0"/>
                  <w:divBdr>
                    <w:top w:val="none" w:sz="0" w:space="0" w:color="auto"/>
                    <w:left w:val="none" w:sz="0" w:space="0" w:color="auto"/>
                    <w:bottom w:val="none" w:sz="0" w:space="0" w:color="auto"/>
                    <w:right w:val="none" w:sz="0" w:space="0" w:color="auto"/>
                  </w:divBdr>
                  <w:divsChild>
                    <w:div w:id="156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7680">
          <w:marLeft w:val="0"/>
          <w:marRight w:val="0"/>
          <w:marTop w:val="225"/>
          <w:marBottom w:val="225"/>
          <w:divBdr>
            <w:top w:val="none" w:sz="0" w:space="0" w:color="auto"/>
            <w:left w:val="none" w:sz="0" w:space="0" w:color="auto"/>
            <w:bottom w:val="none" w:sz="0" w:space="0" w:color="auto"/>
            <w:right w:val="none" w:sz="0" w:space="0" w:color="auto"/>
          </w:divBdr>
          <w:divsChild>
            <w:div w:id="1959098750">
              <w:marLeft w:val="0"/>
              <w:marRight w:val="0"/>
              <w:marTop w:val="0"/>
              <w:marBottom w:val="0"/>
              <w:divBdr>
                <w:top w:val="none" w:sz="0" w:space="0" w:color="auto"/>
                <w:left w:val="none" w:sz="0" w:space="0" w:color="auto"/>
                <w:bottom w:val="none" w:sz="0" w:space="0" w:color="auto"/>
                <w:right w:val="none" w:sz="0" w:space="0" w:color="auto"/>
              </w:divBdr>
            </w:div>
            <w:div w:id="1951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8405">
      <w:bodyDiv w:val="1"/>
      <w:marLeft w:val="0"/>
      <w:marRight w:val="0"/>
      <w:marTop w:val="0"/>
      <w:marBottom w:val="0"/>
      <w:divBdr>
        <w:top w:val="none" w:sz="0" w:space="0" w:color="auto"/>
        <w:left w:val="none" w:sz="0" w:space="0" w:color="auto"/>
        <w:bottom w:val="none" w:sz="0" w:space="0" w:color="auto"/>
        <w:right w:val="none" w:sz="0" w:space="0" w:color="auto"/>
      </w:divBdr>
      <w:divsChild>
        <w:div w:id="1520192862">
          <w:marLeft w:val="240"/>
          <w:marRight w:val="0"/>
          <w:marTop w:val="60"/>
          <w:marBottom w:val="60"/>
          <w:divBdr>
            <w:top w:val="none" w:sz="0" w:space="0" w:color="auto"/>
            <w:left w:val="none" w:sz="0" w:space="0" w:color="auto"/>
            <w:bottom w:val="none" w:sz="0" w:space="0" w:color="auto"/>
            <w:right w:val="none" w:sz="0" w:space="0" w:color="auto"/>
          </w:divBdr>
          <w:divsChild>
            <w:div w:id="2016228004">
              <w:marLeft w:val="0"/>
              <w:marRight w:val="0"/>
              <w:marTop w:val="0"/>
              <w:marBottom w:val="0"/>
              <w:divBdr>
                <w:top w:val="none" w:sz="0" w:space="0" w:color="auto"/>
                <w:left w:val="none" w:sz="0" w:space="0" w:color="auto"/>
                <w:bottom w:val="none" w:sz="0" w:space="0" w:color="auto"/>
                <w:right w:val="none" w:sz="0" w:space="0" w:color="auto"/>
              </w:divBdr>
            </w:div>
          </w:divsChild>
        </w:div>
        <w:div w:id="836306609">
          <w:marLeft w:val="240"/>
          <w:marRight w:val="0"/>
          <w:marTop w:val="60"/>
          <w:marBottom w:val="60"/>
          <w:divBdr>
            <w:top w:val="none" w:sz="0" w:space="0" w:color="auto"/>
            <w:left w:val="none" w:sz="0" w:space="0" w:color="auto"/>
            <w:bottom w:val="none" w:sz="0" w:space="0" w:color="auto"/>
            <w:right w:val="none" w:sz="0" w:space="0" w:color="auto"/>
          </w:divBdr>
          <w:divsChild>
            <w:div w:id="1143082760">
              <w:marLeft w:val="240"/>
              <w:marRight w:val="0"/>
              <w:marTop w:val="60"/>
              <w:marBottom w:val="60"/>
              <w:divBdr>
                <w:top w:val="none" w:sz="0" w:space="0" w:color="auto"/>
                <w:left w:val="none" w:sz="0" w:space="0" w:color="auto"/>
                <w:bottom w:val="none" w:sz="0" w:space="0" w:color="auto"/>
                <w:right w:val="none" w:sz="0" w:space="0" w:color="auto"/>
              </w:divBdr>
              <w:divsChild>
                <w:div w:id="778450763">
                  <w:marLeft w:val="0"/>
                  <w:marRight w:val="0"/>
                  <w:marTop w:val="0"/>
                  <w:marBottom w:val="0"/>
                  <w:divBdr>
                    <w:top w:val="none" w:sz="0" w:space="0" w:color="auto"/>
                    <w:left w:val="none" w:sz="0" w:space="0" w:color="auto"/>
                    <w:bottom w:val="none" w:sz="0" w:space="0" w:color="auto"/>
                    <w:right w:val="none" w:sz="0" w:space="0" w:color="auto"/>
                  </w:divBdr>
                </w:div>
              </w:divsChild>
            </w:div>
            <w:div w:id="208879904">
              <w:marLeft w:val="240"/>
              <w:marRight w:val="0"/>
              <w:marTop w:val="60"/>
              <w:marBottom w:val="60"/>
              <w:divBdr>
                <w:top w:val="none" w:sz="0" w:space="0" w:color="auto"/>
                <w:left w:val="none" w:sz="0" w:space="0" w:color="auto"/>
                <w:bottom w:val="none" w:sz="0" w:space="0" w:color="auto"/>
                <w:right w:val="none" w:sz="0" w:space="0" w:color="auto"/>
              </w:divBdr>
              <w:divsChild>
                <w:div w:id="860513354">
                  <w:marLeft w:val="0"/>
                  <w:marRight w:val="0"/>
                  <w:marTop w:val="0"/>
                  <w:marBottom w:val="0"/>
                  <w:divBdr>
                    <w:top w:val="none" w:sz="0" w:space="0" w:color="auto"/>
                    <w:left w:val="none" w:sz="0" w:space="0" w:color="auto"/>
                    <w:bottom w:val="none" w:sz="0" w:space="0" w:color="auto"/>
                    <w:right w:val="none" w:sz="0" w:space="0" w:color="auto"/>
                  </w:divBdr>
                </w:div>
              </w:divsChild>
            </w:div>
            <w:div w:id="910895097">
              <w:marLeft w:val="240"/>
              <w:marRight w:val="0"/>
              <w:marTop w:val="60"/>
              <w:marBottom w:val="60"/>
              <w:divBdr>
                <w:top w:val="none" w:sz="0" w:space="0" w:color="auto"/>
                <w:left w:val="none" w:sz="0" w:space="0" w:color="auto"/>
                <w:bottom w:val="none" w:sz="0" w:space="0" w:color="auto"/>
                <w:right w:val="none" w:sz="0" w:space="0" w:color="auto"/>
              </w:divBdr>
              <w:divsChild>
                <w:div w:id="67768756">
                  <w:marLeft w:val="0"/>
                  <w:marRight w:val="0"/>
                  <w:marTop w:val="0"/>
                  <w:marBottom w:val="0"/>
                  <w:divBdr>
                    <w:top w:val="none" w:sz="0" w:space="0" w:color="auto"/>
                    <w:left w:val="none" w:sz="0" w:space="0" w:color="auto"/>
                    <w:bottom w:val="none" w:sz="0" w:space="0" w:color="auto"/>
                    <w:right w:val="none" w:sz="0" w:space="0" w:color="auto"/>
                  </w:divBdr>
                </w:div>
              </w:divsChild>
            </w:div>
            <w:div w:id="293023688">
              <w:marLeft w:val="367"/>
              <w:marRight w:val="0"/>
              <w:marTop w:val="0"/>
              <w:marBottom w:val="0"/>
              <w:divBdr>
                <w:top w:val="none" w:sz="0" w:space="0" w:color="auto"/>
                <w:left w:val="none" w:sz="0" w:space="0" w:color="auto"/>
                <w:bottom w:val="none" w:sz="0" w:space="0" w:color="auto"/>
                <w:right w:val="none" w:sz="0" w:space="0" w:color="auto"/>
              </w:divBdr>
            </w:div>
          </w:divsChild>
        </w:div>
      </w:divsChild>
    </w:div>
    <w:div w:id="17793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40/141.84" TargetMode="External"/><Relationship Id="rId18" Type="http://schemas.openxmlformats.org/officeDocument/2006/relationships/hyperlink" Target="https://www.law.cornell.edu/cfr/text/40/141.84" TargetMode="External"/><Relationship Id="rId26" Type="http://schemas.openxmlformats.org/officeDocument/2006/relationships/hyperlink" Target="https://www.law.cornell.edu/uscode/text/42/300g-3" TargetMode="External"/><Relationship Id="rId39" Type="http://schemas.openxmlformats.org/officeDocument/2006/relationships/hyperlink" Target="https://www.law.cornell.edu/uscode/text/42/300g-1" TargetMode="External"/><Relationship Id="rId3" Type="http://schemas.openxmlformats.org/officeDocument/2006/relationships/customXml" Target="../customXml/item3.xml"/><Relationship Id="rId21" Type="http://schemas.openxmlformats.org/officeDocument/2006/relationships/hyperlink" Target="https://www.law.cornell.edu/cfr/text/40/141.86" TargetMode="External"/><Relationship Id="rId34" Type="http://schemas.openxmlformats.org/officeDocument/2006/relationships/hyperlink" Target="https://www.law.cornell.edu/uscode/text/42/300g-1"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aw.cornell.edu/cfr/text/40/141.84" TargetMode="External"/><Relationship Id="rId17" Type="http://schemas.openxmlformats.org/officeDocument/2006/relationships/hyperlink" Target="https://www.law.cornell.edu/cfr/text/40/141.84" TargetMode="External"/><Relationship Id="rId25" Type="http://schemas.openxmlformats.org/officeDocument/2006/relationships/hyperlink" Target="https://www.law.cornell.edu/uscode/text/42/300g-3" TargetMode="External"/><Relationship Id="rId33" Type="http://schemas.openxmlformats.org/officeDocument/2006/relationships/hyperlink" Target="https://www.law.cornell.edu/uscode/text/42/300g-1" TargetMode="External"/><Relationship Id="rId38" Type="http://schemas.openxmlformats.org/officeDocument/2006/relationships/hyperlink" Target="https://www.law.cornell.edu/uscode/text/42/300g-1" TargetMode="External"/><Relationship Id="rId2" Type="http://schemas.openxmlformats.org/officeDocument/2006/relationships/customXml" Target="../customXml/item2.xml"/><Relationship Id="rId16" Type="http://schemas.openxmlformats.org/officeDocument/2006/relationships/hyperlink" Target="https://www.law.cornell.edu/cfr/text/40/141.84" TargetMode="External"/><Relationship Id="rId20" Type="http://schemas.openxmlformats.org/officeDocument/2006/relationships/hyperlink" Target="https://www.law.cornell.edu/cfr/text/40/141.42" TargetMode="External"/><Relationship Id="rId29" Type="http://schemas.openxmlformats.org/officeDocument/2006/relationships/hyperlink" Target="https://www.law.cornell.edu/uscode/text/42/300g-3" TargetMode="External"/><Relationship Id="rId41" Type="http://schemas.openxmlformats.org/officeDocument/2006/relationships/hyperlink" Target="https://www.law.cornell.edu/uscode/text/42/300g-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aw.cornell.edu/cfr/text/40/141.86" TargetMode="External"/><Relationship Id="rId24" Type="http://schemas.openxmlformats.org/officeDocument/2006/relationships/hyperlink" Target="https://www.law.cornell.edu/uscode/text/42/300g-3" TargetMode="External"/><Relationship Id="rId32" Type="http://schemas.openxmlformats.org/officeDocument/2006/relationships/hyperlink" Target="https://www.law.cornell.edu/uscode/text/42/300g-1" TargetMode="External"/><Relationship Id="rId37" Type="http://schemas.openxmlformats.org/officeDocument/2006/relationships/hyperlink" Target="https://www.law.cornell.edu/uscode/text/42/300g-1" TargetMode="External"/><Relationship Id="rId40" Type="http://schemas.openxmlformats.org/officeDocument/2006/relationships/hyperlink" Target="https://www.law.cornell.edu/uscode/text/42/300g-1" TargetMode="External"/><Relationship Id="rId5" Type="http://schemas.openxmlformats.org/officeDocument/2006/relationships/styles" Target="styles.xml"/><Relationship Id="rId15" Type="http://schemas.openxmlformats.org/officeDocument/2006/relationships/hyperlink" Target="https://www.law.cornell.edu/cfr/text/40/141.86" TargetMode="External"/><Relationship Id="rId23" Type="http://schemas.openxmlformats.org/officeDocument/2006/relationships/hyperlink" Target="https://www.law.cornell.edu/uscode/text/42/300g-3" TargetMode="External"/><Relationship Id="rId28" Type="http://schemas.openxmlformats.org/officeDocument/2006/relationships/hyperlink" Target="https://www.law.cornell.edu/uscode/text/42/300g-3" TargetMode="External"/><Relationship Id="rId36" Type="http://schemas.openxmlformats.org/officeDocument/2006/relationships/hyperlink" Target="https://www.law.cornell.edu/uscode/text/42/300g-1" TargetMode="External"/><Relationship Id="rId10" Type="http://schemas.openxmlformats.org/officeDocument/2006/relationships/hyperlink" Target="https://doi.org/10.1002/awwa.1277" TargetMode="External"/><Relationship Id="rId19" Type="http://schemas.openxmlformats.org/officeDocument/2006/relationships/hyperlink" Target="https://www.law.cornell.edu/cfr/text/40/141.84" TargetMode="External"/><Relationship Id="rId31" Type="http://schemas.openxmlformats.org/officeDocument/2006/relationships/hyperlink" Target="https://www.law.cornell.edu/uscode/text/42/300g-3" TargetMode="External"/><Relationship Id="rId4" Type="http://schemas.openxmlformats.org/officeDocument/2006/relationships/numbering" Target="numbering.xml"/><Relationship Id="rId9" Type="http://schemas.openxmlformats.org/officeDocument/2006/relationships/hyperlink" Target="https://awwa.onlinelibrary.wiley.com/action/doSearch?ContribAuthorStored=Cotruvo%2C+Joseph+A" TargetMode="External"/><Relationship Id="rId14" Type="http://schemas.openxmlformats.org/officeDocument/2006/relationships/hyperlink" Target="https://www.law.cornell.edu/cfr/text/40/141.84" TargetMode="External"/><Relationship Id="rId22" Type="http://schemas.openxmlformats.org/officeDocument/2006/relationships/hyperlink" Target="https://www.law.cornell.edu/uscode/text/42/300g-3" TargetMode="External"/><Relationship Id="rId27" Type="http://schemas.openxmlformats.org/officeDocument/2006/relationships/hyperlink" Target="https://www.law.cornell.edu/uscode/text/42/300g-3" TargetMode="External"/><Relationship Id="rId30" Type="http://schemas.openxmlformats.org/officeDocument/2006/relationships/hyperlink" Target="https://www.law.cornell.edu/uscode/text/42/300g-3" TargetMode="External"/><Relationship Id="rId35" Type="http://schemas.openxmlformats.org/officeDocument/2006/relationships/hyperlink" Target="https://www.law.cornell.edu/uscode/text/42/300g-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FB4B3B14201499EC278178C24D010" ma:contentTypeVersion="13" ma:contentTypeDescription="Create a new document." ma:contentTypeScope="" ma:versionID="d7e09646f87ec7d9d9be0e9e5f635c98">
  <xsd:schema xmlns:xsd="http://www.w3.org/2001/XMLSchema" xmlns:xs="http://www.w3.org/2001/XMLSchema" xmlns:p="http://schemas.microsoft.com/office/2006/metadata/properties" xmlns:ns3="039a7298-2861-4a78-bf3a-cd02e5b81cf7" xmlns:ns4="671c7083-ebed-43eb-b3e7-dc9f5a4eb0da" targetNamespace="http://schemas.microsoft.com/office/2006/metadata/properties" ma:root="true" ma:fieldsID="9bd49555cac36d70b735c073dd911f7a" ns3:_="" ns4:_="">
    <xsd:import namespace="039a7298-2861-4a78-bf3a-cd02e5b81cf7"/>
    <xsd:import namespace="671c7083-ebed-43eb-b3e7-dc9f5a4eb0d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a7298-2861-4a78-bf3a-cd02e5b81c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1c7083-ebed-43eb-b3e7-dc9f5a4eb0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3382B-9335-4166-861B-575758073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F30E2-C4E4-4CCD-880F-E26644DE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a7298-2861-4a78-bf3a-cd02e5b81cf7"/>
    <ds:schemaRef ds:uri="671c7083-ebed-43eb-b3e7-dc9f5a4eb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E8D71-3E8F-47AE-B714-69FFE5C90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Via</dc:creator>
  <cp:keywords/>
  <dc:description/>
  <cp:lastModifiedBy>SYSTEM</cp:lastModifiedBy>
  <cp:revision>2</cp:revision>
  <dcterms:created xsi:type="dcterms:W3CDTF">2019-08-19T19:50:00Z</dcterms:created>
  <dcterms:modified xsi:type="dcterms:W3CDTF">2019-08-19T19:50:00Z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0x0101008F7FB4B3B14201499EC278178C24D010</vt:lpwstr>
  </property>
</Properties>
</file>