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935" w:rsidRPr="00CB3935" w:rsidRDefault="00CB3935" w:rsidP="00CB3935">
      <w:pPr>
        <w:jc w:val="center"/>
        <w:rPr>
          <w:rFonts w:asciiTheme="minorHAnsi" w:hAnsiTheme="minorHAnsi" w:cstheme="minorHAnsi"/>
        </w:rPr>
      </w:pPr>
      <w:r w:rsidRPr="00CB3935">
        <w:rPr>
          <w:rFonts w:asciiTheme="minorHAnsi" w:hAnsiTheme="minorHAnsi" w:cstheme="minorHAnsi"/>
        </w:rPr>
        <w:t xml:space="preserve">CARB </w:t>
      </w:r>
      <w:r w:rsidRPr="00CB3935">
        <w:rPr>
          <w:rFonts w:asciiTheme="minorHAnsi" w:hAnsiTheme="minorHAnsi" w:cstheme="minorHAnsi"/>
        </w:rPr>
        <w:t xml:space="preserve">response to </w:t>
      </w:r>
      <w:r w:rsidRPr="00CB3935">
        <w:rPr>
          <w:rFonts w:asciiTheme="minorHAnsi" w:hAnsiTheme="minorHAnsi" w:cstheme="minorHAnsi"/>
        </w:rPr>
        <w:t xml:space="preserve">EPA oil and gas NSPS </w:t>
      </w:r>
      <w:r w:rsidRPr="00CB3935">
        <w:rPr>
          <w:rFonts w:asciiTheme="minorHAnsi" w:hAnsiTheme="minorHAnsi" w:cstheme="minorHAnsi"/>
        </w:rPr>
        <w:t>reporting question</w:t>
      </w:r>
    </w:p>
    <w:p w:rsidR="00CB3935" w:rsidRPr="00CB3935" w:rsidRDefault="0053261A" w:rsidP="00CB3935">
      <w:pPr>
        <w:jc w:val="center"/>
        <w:rPr>
          <w:rFonts w:asciiTheme="minorHAnsi" w:hAnsiTheme="minorHAnsi" w:cstheme="minorHAnsi"/>
        </w:rPr>
      </w:pPr>
      <w:r>
        <w:rPr>
          <w:rFonts w:asciiTheme="minorHAnsi" w:hAnsiTheme="minorHAnsi" w:cstheme="minorHAnsi"/>
        </w:rPr>
        <w:t>July 8</w:t>
      </w:r>
      <w:r w:rsidR="00CB3935" w:rsidRPr="00CB3935">
        <w:rPr>
          <w:rFonts w:asciiTheme="minorHAnsi" w:hAnsiTheme="minorHAnsi" w:cstheme="minorHAnsi"/>
        </w:rPr>
        <w:t>, 2020</w:t>
      </w:r>
    </w:p>
    <w:p w:rsidR="00CB3935" w:rsidRPr="00CB3935" w:rsidRDefault="00CB3935" w:rsidP="00CB3935">
      <w:pPr>
        <w:rPr>
          <w:rFonts w:asciiTheme="minorHAnsi" w:hAnsiTheme="minorHAnsi" w:cstheme="minorHAnsi"/>
        </w:rPr>
      </w:pPr>
    </w:p>
    <w:p w:rsidR="0053261A" w:rsidRPr="0053261A" w:rsidRDefault="00CB3935" w:rsidP="0053261A">
      <w:pPr>
        <w:pStyle w:val="Heading1"/>
        <w:spacing w:before="0" w:after="0"/>
        <w:rPr>
          <w:rFonts w:asciiTheme="minorHAnsi" w:hAnsiTheme="minorHAnsi" w:cstheme="minorHAnsi"/>
          <w:b w:val="0"/>
          <w:color w:val="000000" w:themeColor="text1"/>
          <w:szCs w:val="24"/>
        </w:rPr>
      </w:pPr>
      <w:r w:rsidRPr="0053261A">
        <w:rPr>
          <w:rFonts w:asciiTheme="minorHAnsi" w:hAnsiTheme="minorHAnsi" w:cstheme="minorHAnsi"/>
          <w:b w:val="0"/>
          <w:color w:val="auto"/>
        </w:rPr>
        <w:t xml:space="preserve">In </w:t>
      </w:r>
      <w:r w:rsidR="0053261A" w:rsidRPr="0053261A">
        <w:rPr>
          <w:rFonts w:asciiTheme="minorHAnsi" w:hAnsiTheme="minorHAnsi" w:cstheme="minorHAnsi"/>
          <w:b w:val="0"/>
          <w:color w:val="auto"/>
        </w:rPr>
        <w:t>CARB’s</w:t>
      </w:r>
      <w:r w:rsidRPr="0053261A">
        <w:rPr>
          <w:rFonts w:asciiTheme="minorHAnsi" w:hAnsiTheme="minorHAnsi" w:cstheme="minorHAnsi"/>
          <w:b w:val="0"/>
          <w:color w:val="auto"/>
        </w:rPr>
        <w:t xml:space="preserve"> meeting</w:t>
      </w:r>
      <w:r w:rsidR="0053261A" w:rsidRPr="0053261A">
        <w:rPr>
          <w:rFonts w:asciiTheme="minorHAnsi" w:hAnsiTheme="minorHAnsi" w:cstheme="minorHAnsi"/>
          <w:b w:val="0"/>
          <w:color w:val="auto"/>
        </w:rPr>
        <w:t xml:space="preserve"> with OMB and EPA staff</w:t>
      </w:r>
      <w:r w:rsidRPr="0053261A">
        <w:rPr>
          <w:rFonts w:asciiTheme="minorHAnsi" w:hAnsiTheme="minorHAnsi" w:cstheme="minorHAnsi"/>
          <w:b w:val="0"/>
          <w:color w:val="auto"/>
        </w:rPr>
        <w:t xml:space="preserve"> on </w:t>
      </w:r>
      <w:r w:rsidR="0053261A" w:rsidRPr="0053261A">
        <w:rPr>
          <w:rFonts w:asciiTheme="minorHAnsi" w:hAnsiTheme="minorHAnsi" w:cstheme="minorHAnsi"/>
          <w:b w:val="0"/>
          <w:color w:val="auto"/>
        </w:rPr>
        <w:t xml:space="preserve">July 7, 2020, CARB </w:t>
      </w:r>
      <w:r w:rsidR="0053261A">
        <w:rPr>
          <w:rFonts w:asciiTheme="minorHAnsi" w:hAnsiTheme="minorHAnsi" w:cstheme="minorHAnsi"/>
          <w:b w:val="0"/>
          <w:color w:val="auto"/>
        </w:rPr>
        <w:t xml:space="preserve">explained that, </w:t>
      </w:r>
      <w:r w:rsidR="0053261A">
        <w:rPr>
          <w:rFonts w:asciiTheme="minorHAnsi" w:hAnsiTheme="minorHAnsi" w:cstheme="minorHAnsi"/>
          <w:b w:val="0"/>
          <w:color w:val="000000" w:themeColor="text1"/>
          <w:szCs w:val="24"/>
        </w:rPr>
        <w:t>e</w:t>
      </w:r>
      <w:r w:rsidR="0053261A" w:rsidRPr="00B77AB6">
        <w:rPr>
          <w:rFonts w:asciiTheme="minorHAnsi" w:hAnsiTheme="minorHAnsi" w:cstheme="minorHAnsi"/>
          <w:b w:val="0"/>
          <w:color w:val="000000" w:themeColor="text1"/>
          <w:szCs w:val="24"/>
        </w:rPr>
        <w:t xml:space="preserve">ven if EPA </w:t>
      </w:r>
      <w:r w:rsidR="0053261A">
        <w:rPr>
          <w:rFonts w:asciiTheme="minorHAnsi" w:hAnsiTheme="minorHAnsi" w:cstheme="minorHAnsi"/>
          <w:b w:val="0"/>
          <w:color w:val="000000" w:themeColor="text1"/>
          <w:szCs w:val="24"/>
        </w:rPr>
        <w:t xml:space="preserve">ill-advisedly </w:t>
      </w:r>
      <w:r w:rsidR="0053261A" w:rsidRPr="00B77AB6">
        <w:rPr>
          <w:rFonts w:asciiTheme="minorHAnsi" w:hAnsiTheme="minorHAnsi" w:cstheme="minorHAnsi"/>
          <w:b w:val="0"/>
          <w:color w:val="000000" w:themeColor="text1"/>
          <w:szCs w:val="24"/>
        </w:rPr>
        <w:t xml:space="preserve">finalizes </w:t>
      </w:r>
      <w:r w:rsidR="0053261A">
        <w:rPr>
          <w:rFonts w:asciiTheme="minorHAnsi" w:hAnsiTheme="minorHAnsi" w:cstheme="minorHAnsi"/>
          <w:b w:val="0"/>
          <w:color w:val="000000" w:themeColor="text1"/>
          <w:szCs w:val="24"/>
        </w:rPr>
        <w:t xml:space="preserve">its </w:t>
      </w:r>
      <w:r w:rsidR="0053261A" w:rsidRPr="00B77AB6">
        <w:rPr>
          <w:rFonts w:asciiTheme="minorHAnsi" w:hAnsiTheme="minorHAnsi" w:cstheme="minorHAnsi"/>
          <w:b w:val="0"/>
          <w:color w:val="000000" w:themeColor="text1"/>
          <w:szCs w:val="24"/>
        </w:rPr>
        <w:t>proposed removal of transmission and storage sources from t</w:t>
      </w:r>
      <w:r w:rsidR="0053261A">
        <w:rPr>
          <w:rFonts w:asciiTheme="minorHAnsi" w:hAnsiTheme="minorHAnsi" w:cstheme="minorHAnsi"/>
          <w:b w:val="0"/>
          <w:color w:val="000000" w:themeColor="text1"/>
          <w:szCs w:val="24"/>
        </w:rPr>
        <w:t>he</w:t>
      </w:r>
      <w:r w:rsidR="0053261A">
        <w:rPr>
          <w:rFonts w:asciiTheme="minorHAnsi" w:hAnsiTheme="minorHAnsi" w:cstheme="minorHAnsi"/>
          <w:b w:val="0"/>
          <w:color w:val="000000" w:themeColor="text1"/>
          <w:szCs w:val="24"/>
        </w:rPr>
        <w:t xml:space="preserve"> oil and gas</w:t>
      </w:r>
      <w:r w:rsidR="0053261A">
        <w:rPr>
          <w:rFonts w:asciiTheme="minorHAnsi" w:hAnsiTheme="minorHAnsi" w:cstheme="minorHAnsi"/>
          <w:b w:val="0"/>
          <w:color w:val="000000" w:themeColor="text1"/>
          <w:szCs w:val="24"/>
        </w:rPr>
        <w:t xml:space="preserve"> source category, it need not and should not</w:t>
      </w:r>
      <w:r w:rsidR="0053261A" w:rsidRPr="00B77AB6">
        <w:rPr>
          <w:rFonts w:asciiTheme="minorHAnsi" w:hAnsiTheme="minorHAnsi" w:cstheme="minorHAnsi"/>
          <w:b w:val="0"/>
          <w:color w:val="000000" w:themeColor="text1"/>
          <w:szCs w:val="24"/>
        </w:rPr>
        <w:t xml:space="preserve"> repeal the reporting and reco</w:t>
      </w:r>
      <w:r w:rsidR="0053261A">
        <w:rPr>
          <w:rFonts w:asciiTheme="minorHAnsi" w:hAnsiTheme="minorHAnsi" w:cstheme="minorHAnsi"/>
          <w:b w:val="0"/>
          <w:color w:val="000000" w:themeColor="text1"/>
          <w:szCs w:val="24"/>
        </w:rPr>
        <w:t>rdkeeping requirements and ICR.  Clean Air Act</w:t>
      </w:r>
      <w:r w:rsidR="005F480F">
        <w:rPr>
          <w:rFonts w:asciiTheme="minorHAnsi" w:hAnsiTheme="minorHAnsi" w:cstheme="minorHAnsi"/>
          <w:b w:val="0"/>
          <w:color w:val="000000" w:themeColor="text1"/>
          <w:szCs w:val="24"/>
        </w:rPr>
        <w:t xml:space="preserve"> section </w:t>
      </w:r>
      <w:r w:rsidR="0053261A">
        <w:rPr>
          <w:rFonts w:asciiTheme="minorHAnsi" w:hAnsiTheme="minorHAnsi" w:cstheme="minorHAnsi"/>
          <w:b w:val="0"/>
          <w:color w:val="000000" w:themeColor="text1"/>
          <w:szCs w:val="24"/>
        </w:rPr>
        <w:t>114</w:t>
      </w:r>
      <w:r w:rsidR="005F480F">
        <w:rPr>
          <w:rFonts w:asciiTheme="minorHAnsi" w:hAnsiTheme="minorHAnsi" w:cstheme="minorHAnsi"/>
          <w:b w:val="0"/>
          <w:color w:val="000000" w:themeColor="text1"/>
          <w:szCs w:val="24"/>
        </w:rPr>
        <w:t>(a)</w:t>
      </w:r>
      <w:r w:rsidR="0053261A" w:rsidRPr="00B77AB6">
        <w:rPr>
          <w:rFonts w:asciiTheme="minorHAnsi" w:hAnsiTheme="minorHAnsi" w:cstheme="minorHAnsi"/>
          <w:b w:val="0"/>
          <w:color w:val="000000" w:themeColor="text1"/>
          <w:szCs w:val="24"/>
        </w:rPr>
        <w:t xml:space="preserve"> authorizes reporting, monitoring, recordkeeping, and related requirements</w:t>
      </w:r>
      <w:r w:rsidR="005F480F">
        <w:rPr>
          <w:rFonts w:asciiTheme="minorHAnsi" w:hAnsiTheme="minorHAnsi" w:cstheme="minorHAnsi"/>
          <w:b w:val="0"/>
          <w:color w:val="000000" w:themeColor="text1"/>
          <w:szCs w:val="24"/>
        </w:rPr>
        <w:t>,</w:t>
      </w:r>
      <w:r w:rsidR="0053261A" w:rsidRPr="00B77AB6">
        <w:rPr>
          <w:rFonts w:asciiTheme="minorHAnsi" w:hAnsiTheme="minorHAnsi" w:cstheme="minorHAnsi"/>
          <w:b w:val="0"/>
          <w:color w:val="000000" w:themeColor="text1"/>
          <w:szCs w:val="24"/>
        </w:rPr>
        <w:t xml:space="preserve"> whether or not </w:t>
      </w:r>
      <w:r w:rsidR="005F480F">
        <w:rPr>
          <w:rFonts w:asciiTheme="minorHAnsi" w:hAnsiTheme="minorHAnsi" w:cstheme="minorHAnsi"/>
          <w:b w:val="0"/>
          <w:color w:val="000000" w:themeColor="text1"/>
          <w:szCs w:val="24"/>
        </w:rPr>
        <w:t>sources are listed under section</w:t>
      </w:r>
      <w:r w:rsidR="0053261A" w:rsidRPr="00B77AB6">
        <w:rPr>
          <w:rFonts w:asciiTheme="minorHAnsi" w:hAnsiTheme="minorHAnsi" w:cstheme="minorHAnsi"/>
          <w:b w:val="0"/>
          <w:color w:val="000000" w:themeColor="text1"/>
          <w:szCs w:val="24"/>
        </w:rPr>
        <w:t xml:space="preserve"> 111.</w:t>
      </w:r>
      <w:r w:rsidR="0053261A" w:rsidRPr="00B77AB6">
        <w:rPr>
          <w:rStyle w:val="FootnoteReference"/>
          <w:rFonts w:asciiTheme="minorHAnsi" w:hAnsiTheme="minorHAnsi" w:cstheme="minorHAnsi"/>
          <w:b w:val="0"/>
          <w:color w:val="000000" w:themeColor="text1"/>
          <w:szCs w:val="24"/>
        </w:rPr>
        <w:footnoteReference w:id="1"/>
      </w:r>
      <w:r w:rsidR="0053261A">
        <w:rPr>
          <w:rFonts w:asciiTheme="minorHAnsi" w:hAnsiTheme="minorHAnsi" w:cstheme="minorHAnsi"/>
          <w:b w:val="0"/>
          <w:color w:val="000000" w:themeColor="text1"/>
          <w:szCs w:val="24"/>
        </w:rPr>
        <w:t xml:space="preserve"> </w:t>
      </w:r>
      <w:r w:rsidR="0053261A">
        <w:rPr>
          <w:rFonts w:asciiTheme="minorHAnsi" w:hAnsiTheme="minorHAnsi" w:cstheme="minorHAnsi"/>
          <w:b w:val="0"/>
          <w:color w:val="000000" w:themeColor="text1"/>
          <w:szCs w:val="24"/>
        </w:rPr>
        <w:t xml:space="preserve"> The reported data </w:t>
      </w:r>
      <w:r w:rsidR="0053261A" w:rsidRPr="00B77AB6">
        <w:rPr>
          <w:rFonts w:asciiTheme="minorHAnsi" w:hAnsiTheme="minorHAnsi" w:cstheme="minorHAnsi"/>
          <w:b w:val="0"/>
          <w:color w:val="000000" w:themeColor="text1"/>
          <w:szCs w:val="24"/>
        </w:rPr>
        <w:t xml:space="preserve">provide value to EPA, State, local, and Tribal regulators, and the public. </w:t>
      </w:r>
      <w:r w:rsidR="0053261A">
        <w:rPr>
          <w:rFonts w:asciiTheme="minorHAnsi" w:hAnsiTheme="minorHAnsi" w:cstheme="minorHAnsi"/>
          <w:b w:val="0"/>
          <w:color w:val="000000" w:themeColor="text1"/>
          <w:szCs w:val="24"/>
        </w:rPr>
        <w:t xml:space="preserve">For example, </w:t>
      </w:r>
      <w:r w:rsidR="0053261A" w:rsidRPr="00B77AB6">
        <w:rPr>
          <w:rFonts w:asciiTheme="minorHAnsi" w:hAnsiTheme="minorHAnsi" w:cstheme="minorHAnsi"/>
          <w:b w:val="0"/>
          <w:color w:val="000000" w:themeColor="text1"/>
          <w:szCs w:val="24"/>
        </w:rPr>
        <w:t>California utilizes emissions inventories to estimate greenhouse gas emissions associated with imported natural gas pursuant to state law.</w:t>
      </w:r>
      <w:r w:rsidR="0053261A" w:rsidRPr="00B77AB6">
        <w:rPr>
          <w:rStyle w:val="FootnoteReference"/>
          <w:rFonts w:asciiTheme="minorHAnsi" w:hAnsiTheme="minorHAnsi" w:cstheme="minorHAnsi"/>
          <w:b w:val="0"/>
          <w:color w:val="000000" w:themeColor="text1"/>
          <w:szCs w:val="24"/>
        </w:rPr>
        <w:footnoteReference w:id="2"/>
      </w:r>
    </w:p>
    <w:p w:rsidR="00CB3935" w:rsidRDefault="00CB3935" w:rsidP="000B4C52">
      <w:pPr>
        <w:pStyle w:val="xmsonormal"/>
        <w:rPr>
          <w:rFonts w:asciiTheme="minorHAnsi" w:hAnsiTheme="minorHAnsi" w:cstheme="minorHAnsi"/>
        </w:rPr>
      </w:pPr>
    </w:p>
    <w:p w:rsidR="0053261A" w:rsidRPr="00CB3935" w:rsidRDefault="0053261A" w:rsidP="000B4C52">
      <w:pPr>
        <w:pStyle w:val="xmsonormal"/>
        <w:rPr>
          <w:rFonts w:asciiTheme="minorHAnsi" w:hAnsiTheme="minorHAnsi" w:cstheme="minorHAnsi"/>
        </w:rPr>
      </w:pPr>
      <w:r>
        <w:rPr>
          <w:rFonts w:asciiTheme="minorHAnsi" w:hAnsiTheme="minorHAnsi" w:cstheme="minorHAnsi"/>
        </w:rPr>
        <w:t xml:space="preserve">EPA/OAQPS staff asked </w:t>
      </w:r>
      <w:r w:rsidR="007C0600">
        <w:rPr>
          <w:rFonts w:asciiTheme="minorHAnsi" w:hAnsiTheme="minorHAnsi" w:cstheme="minorHAnsi"/>
        </w:rPr>
        <w:t>CARB, if transmission and storage sources are re</w:t>
      </w:r>
      <w:bookmarkStart w:id="0" w:name="_GoBack"/>
      <w:bookmarkEnd w:id="0"/>
      <w:r w:rsidR="007C0600">
        <w:rPr>
          <w:rFonts w:asciiTheme="minorHAnsi" w:hAnsiTheme="minorHAnsi" w:cstheme="minorHAnsi"/>
        </w:rPr>
        <w:t>moved from the source category and no longer have LDAR requirements, which reporting and recordkeeping requirements could usefully be retained.  CARB provides the following, more detailed response.</w:t>
      </w:r>
    </w:p>
    <w:p w:rsidR="00CB3935" w:rsidRPr="00CB3935" w:rsidRDefault="00CB3935" w:rsidP="000B4C52">
      <w:pPr>
        <w:pStyle w:val="xmsonormal"/>
        <w:rPr>
          <w:rFonts w:asciiTheme="minorHAnsi" w:hAnsiTheme="minorHAnsi" w:cstheme="minorHAnsi"/>
        </w:rPr>
      </w:pPr>
    </w:p>
    <w:p w:rsidR="00380D92" w:rsidRPr="0013715B" w:rsidRDefault="00380D92" w:rsidP="007C0600">
      <w:pPr>
        <w:numPr>
          <w:ilvl w:val="0"/>
          <w:numId w:val="1"/>
        </w:numPr>
        <w:shd w:val="clear" w:color="auto" w:fill="FFFFFF"/>
        <w:rPr>
          <w:rFonts w:eastAsia="Times New Roman"/>
        </w:rPr>
      </w:pPr>
      <w:r>
        <w:rPr>
          <w:rFonts w:ascii="Calibri" w:eastAsia="Times New Roman" w:hAnsi="Calibri" w:cs="Calibri"/>
        </w:rPr>
        <w:t xml:space="preserve">EPA should retain all reporting requirements for transmission and storage sources that exceed the </w:t>
      </w:r>
      <w:r w:rsidR="0013715B">
        <w:rPr>
          <w:rFonts w:ascii="Calibri" w:eastAsia="Times New Roman" w:hAnsi="Calibri" w:cs="Calibri"/>
        </w:rPr>
        <w:t>data collected and published by</w:t>
      </w:r>
      <w:r>
        <w:rPr>
          <w:rFonts w:ascii="Calibri" w:eastAsia="Times New Roman" w:hAnsi="Calibri" w:cs="Calibri"/>
        </w:rPr>
        <w:t xml:space="preserve"> EPA’s GHGRP</w:t>
      </w:r>
      <w:r w:rsidR="0013715B">
        <w:rPr>
          <w:rFonts w:ascii="Calibri" w:eastAsia="Times New Roman" w:hAnsi="Calibri" w:cs="Calibri"/>
        </w:rPr>
        <w:t>.</w:t>
      </w:r>
      <w:r w:rsidR="0013715B">
        <w:rPr>
          <w:rStyle w:val="FootnoteReference"/>
          <w:rFonts w:eastAsia="Times New Roman" w:cs="Calibri"/>
        </w:rPr>
        <w:footnoteReference w:id="3"/>
      </w:r>
      <w:r w:rsidR="0013715B">
        <w:rPr>
          <w:rFonts w:ascii="Calibri" w:eastAsia="Times New Roman" w:hAnsi="Calibri" w:cs="Calibri"/>
        </w:rPr>
        <w:t xml:space="preserve">  This may include:</w:t>
      </w:r>
    </w:p>
    <w:p w:rsidR="0013715B" w:rsidRPr="0013715B" w:rsidRDefault="0013715B" w:rsidP="0013715B">
      <w:pPr>
        <w:numPr>
          <w:ilvl w:val="1"/>
          <w:numId w:val="1"/>
        </w:numPr>
        <w:shd w:val="clear" w:color="auto" w:fill="FFFFFF"/>
        <w:rPr>
          <w:rFonts w:eastAsia="Times New Roman"/>
        </w:rPr>
      </w:pPr>
      <w:proofErr w:type="spellStart"/>
      <w:r>
        <w:rPr>
          <w:rFonts w:ascii="Calibri" w:eastAsia="Times New Roman" w:hAnsi="Calibri" w:cs="Calibri"/>
        </w:rPr>
        <w:t>Unaggregated</w:t>
      </w:r>
      <w:proofErr w:type="spellEnd"/>
      <w:r>
        <w:rPr>
          <w:rFonts w:ascii="Calibri" w:eastAsia="Times New Roman" w:hAnsi="Calibri" w:cs="Calibri"/>
        </w:rPr>
        <w:t xml:space="preserve"> production data</w:t>
      </w:r>
    </w:p>
    <w:p w:rsidR="0013715B" w:rsidRPr="004B02DB" w:rsidRDefault="009D1A82" w:rsidP="0013715B">
      <w:pPr>
        <w:numPr>
          <w:ilvl w:val="1"/>
          <w:numId w:val="1"/>
        </w:numPr>
        <w:shd w:val="clear" w:color="auto" w:fill="FFFFFF"/>
        <w:rPr>
          <w:rFonts w:eastAsia="Times New Roman"/>
        </w:rPr>
      </w:pPr>
      <w:r>
        <w:rPr>
          <w:rFonts w:ascii="Calibri" w:eastAsia="Times New Roman" w:hAnsi="Calibri" w:cs="Calibri"/>
        </w:rPr>
        <w:t>Information concerning</w:t>
      </w:r>
      <w:r w:rsidR="0013715B">
        <w:rPr>
          <w:rFonts w:ascii="Calibri" w:eastAsia="Times New Roman" w:hAnsi="Calibri" w:cs="Calibri"/>
        </w:rPr>
        <w:t xml:space="preserve"> design and performance</w:t>
      </w:r>
    </w:p>
    <w:p w:rsidR="004B02DB" w:rsidRPr="006E6DC5" w:rsidRDefault="004B02DB" w:rsidP="0013715B">
      <w:pPr>
        <w:numPr>
          <w:ilvl w:val="1"/>
          <w:numId w:val="1"/>
        </w:numPr>
        <w:shd w:val="clear" w:color="auto" w:fill="FFFFFF"/>
        <w:rPr>
          <w:rFonts w:eastAsia="Times New Roman"/>
        </w:rPr>
      </w:pPr>
      <w:r w:rsidRPr="006E6DC5">
        <w:rPr>
          <w:rFonts w:ascii="Calibri" w:eastAsia="Times New Roman" w:hAnsi="Calibri" w:cs="Calibri"/>
        </w:rPr>
        <w:t>Data on venting and flaring</w:t>
      </w:r>
    </w:p>
    <w:p w:rsidR="0013715B" w:rsidRPr="0013715B" w:rsidRDefault="0013715B" w:rsidP="0013715B">
      <w:pPr>
        <w:numPr>
          <w:ilvl w:val="1"/>
          <w:numId w:val="1"/>
        </w:numPr>
        <w:shd w:val="clear" w:color="auto" w:fill="FFFFFF"/>
        <w:rPr>
          <w:rFonts w:eastAsia="Times New Roman"/>
        </w:rPr>
      </w:pPr>
      <w:r>
        <w:rPr>
          <w:rFonts w:ascii="Calibri" w:eastAsia="Times New Roman" w:hAnsi="Calibri" w:cs="Calibri"/>
        </w:rPr>
        <w:t>Mitigation measures’ technical feasibility and costs</w:t>
      </w:r>
    </w:p>
    <w:p w:rsidR="0013715B" w:rsidRPr="0013715B" w:rsidRDefault="0013715B" w:rsidP="0013715B">
      <w:pPr>
        <w:numPr>
          <w:ilvl w:val="1"/>
          <w:numId w:val="1"/>
        </w:numPr>
        <w:shd w:val="clear" w:color="auto" w:fill="FFFFFF"/>
        <w:rPr>
          <w:rFonts w:eastAsia="Times New Roman"/>
        </w:rPr>
      </w:pPr>
      <w:r>
        <w:rPr>
          <w:rFonts w:ascii="Calibri" w:eastAsia="Times New Roman" w:hAnsi="Calibri" w:cs="Calibri"/>
        </w:rPr>
        <w:t>All reporting requirements for sources below GHGRP</w:t>
      </w:r>
      <w:r w:rsidR="009662C3">
        <w:rPr>
          <w:rFonts w:ascii="Calibri" w:eastAsia="Times New Roman" w:hAnsi="Calibri" w:cs="Calibri"/>
        </w:rPr>
        <w:t>’s</w:t>
      </w:r>
      <w:r>
        <w:rPr>
          <w:rFonts w:ascii="Calibri" w:eastAsia="Times New Roman" w:hAnsi="Calibri" w:cs="Calibri"/>
        </w:rPr>
        <w:t xml:space="preserve"> reporting threshold</w:t>
      </w:r>
    </w:p>
    <w:p w:rsidR="0091228B" w:rsidRPr="0091228B" w:rsidRDefault="0091228B" w:rsidP="0091228B">
      <w:pPr>
        <w:shd w:val="clear" w:color="auto" w:fill="FFFFFF"/>
        <w:ind w:left="720"/>
        <w:rPr>
          <w:rFonts w:eastAsia="Times New Roman"/>
        </w:rPr>
      </w:pPr>
    </w:p>
    <w:p w:rsidR="009662C3" w:rsidRPr="009662C3" w:rsidRDefault="000B4C52" w:rsidP="005A75E6">
      <w:pPr>
        <w:numPr>
          <w:ilvl w:val="0"/>
          <w:numId w:val="1"/>
        </w:numPr>
        <w:shd w:val="clear" w:color="auto" w:fill="FFFFFF"/>
        <w:rPr>
          <w:rFonts w:eastAsia="Times New Roman"/>
        </w:rPr>
      </w:pPr>
      <w:r w:rsidRPr="009662C3">
        <w:rPr>
          <w:rFonts w:ascii="Calibri" w:eastAsia="Times New Roman" w:hAnsi="Calibri" w:cs="Calibri"/>
        </w:rPr>
        <w:t xml:space="preserve">CARB's </w:t>
      </w:r>
      <w:r w:rsidR="009662C3" w:rsidRPr="009662C3">
        <w:rPr>
          <w:rFonts w:ascii="Calibri" w:eastAsia="Times New Roman" w:hAnsi="Calibri" w:cs="Calibri"/>
        </w:rPr>
        <w:t>oil and gas</w:t>
      </w:r>
      <w:r w:rsidRPr="009662C3">
        <w:rPr>
          <w:rFonts w:ascii="Calibri" w:eastAsia="Times New Roman" w:hAnsi="Calibri" w:cs="Calibri"/>
        </w:rPr>
        <w:t xml:space="preserve"> regulation requires reporting </w:t>
      </w:r>
      <w:r w:rsidR="009662C3" w:rsidRPr="009662C3">
        <w:rPr>
          <w:rFonts w:ascii="Calibri" w:eastAsia="Times New Roman" w:hAnsi="Calibri" w:cs="Calibri"/>
        </w:rPr>
        <w:t xml:space="preserve">by </w:t>
      </w:r>
      <w:r w:rsidRPr="009662C3">
        <w:rPr>
          <w:rFonts w:ascii="Calibri" w:eastAsia="Times New Roman" w:hAnsi="Calibri" w:cs="Calibri"/>
        </w:rPr>
        <w:t xml:space="preserve">facilities that </w:t>
      </w:r>
      <w:r w:rsidR="009662C3" w:rsidRPr="009662C3">
        <w:rPr>
          <w:rFonts w:ascii="Calibri" w:eastAsia="Times New Roman" w:hAnsi="Calibri" w:cs="Calibri"/>
        </w:rPr>
        <w:t>are not required to</w:t>
      </w:r>
      <w:r w:rsidRPr="009662C3">
        <w:rPr>
          <w:rFonts w:ascii="Calibri" w:eastAsia="Times New Roman" w:hAnsi="Calibri" w:cs="Calibri"/>
        </w:rPr>
        <w:t xml:space="preserve"> implement controls.</w:t>
      </w:r>
      <w:r w:rsidR="0013715B">
        <w:rPr>
          <w:rStyle w:val="FootnoteReference"/>
          <w:rFonts w:eastAsia="Times New Roman" w:cs="Calibri"/>
        </w:rPr>
        <w:footnoteReference w:id="4"/>
      </w:r>
      <w:r w:rsidR="009662C3" w:rsidRPr="009662C3">
        <w:rPr>
          <w:rFonts w:ascii="Calibri" w:eastAsia="Times New Roman" w:hAnsi="Calibri" w:cs="Calibri"/>
        </w:rPr>
        <w:t xml:space="preserve">  Reporting requirements include</w:t>
      </w:r>
      <w:r w:rsidR="009662C3">
        <w:rPr>
          <w:rFonts w:ascii="Calibri" w:eastAsia="Times New Roman" w:hAnsi="Calibri" w:cs="Calibri"/>
        </w:rPr>
        <w:t>:</w:t>
      </w:r>
    </w:p>
    <w:p w:rsidR="009662C3" w:rsidRPr="009662C3" w:rsidRDefault="009662C3" w:rsidP="009662C3">
      <w:pPr>
        <w:numPr>
          <w:ilvl w:val="1"/>
          <w:numId w:val="1"/>
        </w:numPr>
        <w:shd w:val="clear" w:color="auto" w:fill="FFFFFF"/>
        <w:rPr>
          <w:rFonts w:eastAsia="Times New Roman"/>
        </w:rPr>
      </w:pPr>
      <w:r>
        <w:rPr>
          <w:rFonts w:ascii="Calibri" w:eastAsia="Times New Roman" w:hAnsi="Calibri" w:cs="Calibri"/>
        </w:rPr>
        <w:t>Equipment numbers</w:t>
      </w:r>
    </w:p>
    <w:p w:rsidR="009662C3" w:rsidRPr="009662C3" w:rsidRDefault="009662C3" w:rsidP="009662C3">
      <w:pPr>
        <w:numPr>
          <w:ilvl w:val="1"/>
          <w:numId w:val="1"/>
        </w:numPr>
        <w:shd w:val="clear" w:color="auto" w:fill="FFFFFF"/>
        <w:rPr>
          <w:rFonts w:eastAsia="Times New Roman"/>
        </w:rPr>
      </w:pPr>
      <w:r>
        <w:rPr>
          <w:rFonts w:ascii="Calibri" w:eastAsia="Times New Roman" w:hAnsi="Calibri" w:cs="Calibri"/>
        </w:rPr>
        <w:t>Throughput</w:t>
      </w:r>
    </w:p>
    <w:p w:rsidR="009662C3" w:rsidRPr="009662C3" w:rsidRDefault="009662C3" w:rsidP="009662C3">
      <w:pPr>
        <w:numPr>
          <w:ilvl w:val="1"/>
          <w:numId w:val="1"/>
        </w:numPr>
        <w:shd w:val="clear" w:color="auto" w:fill="FFFFFF"/>
        <w:rPr>
          <w:rFonts w:eastAsia="Times New Roman"/>
        </w:rPr>
      </w:pPr>
      <w:r>
        <w:rPr>
          <w:rFonts w:ascii="Calibri" w:eastAsia="Times New Roman" w:hAnsi="Calibri" w:cs="Calibri"/>
        </w:rPr>
        <w:t>E</w:t>
      </w:r>
      <w:r w:rsidRPr="009662C3">
        <w:rPr>
          <w:rFonts w:ascii="Calibri" w:eastAsia="Times New Roman" w:hAnsi="Calibri" w:cs="Calibri"/>
        </w:rPr>
        <w:t>missions fr</w:t>
      </w:r>
      <w:r>
        <w:rPr>
          <w:rFonts w:ascii="Calibri" w:eastAsia="Times New Roman" w:hAnsi="Calibri" w:cs="Calibri"/>
        </w:rPr>
        <w:t>om open well casing vents</w:t>
      </w:r>
    </w:p>
    <w:p w:rsidR="009662C3" w:rsidRPr="009662C3" w:rsidRDefault="009662C3" w:rsidP="009662C3">
      <w:pPr>
        <w:numPr>
          <w:ilvl w:val="1"/>
          <w:numId w:val="1"/>
        </w:numPr>
        <w:shd w:val="clear" w:color="auto" w:fill="FFFFFF"/>
        <w:rPr>
          <w:rFonts w:eastAsia="Times New Roman"/>
        </w:rPr>
      </w:pPr>
      <w:r>
        <w:rPr>
          <w:rFonts w:ascii="Calibri" w:eastAsia="Times New Roman" w:hAnsi="Calibri" w:cs="Calibri"/>
        </w:rPr>
        <w:t>E</w:t>
      </w:r>
      <w:r w:rsidRPr="009662C3">
        <w:rPr>
          <w:rFonts w:ascii="Calibri" w:eastAsia="Times New Roman" w:hAnsi="Calibri" w:cs="Calibri"/>
        </w:rPr>
        <w:t>missions from liquids unloading events</w:t>
      </w:r>
    </w:p>
    <w:p w:rsidR="004F64CA" w:rsidRPr="00CB3935" w:rsidRDefault="005F480F"/>
    <w:sectPr w:rsidR="004F64CA" w:rsidRPr="00CB39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61A" w:rsidRDefault="0053261A" w:rsidP="0053261A">
      <w:r>
        <w:separator/>
      </w:r>
    </w:p>
  </w:endnote>
  <w:endnote w:type="continuationSeparator" w:id="0">
    <w:p w:rsidR="0053261A" w:rsidRDefault="0053261A" w:rsidP="0053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 LT Std 55 Roman">
    <w:panose1 w:val="020B05030202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61A" w:rsidRDefault="0053261A" w:rsidP="0053261A">
      <w:r>
        <w:separator/>
      </w:r>
    </w:p>
  </w:footnote>
  <w:footnote w:type="continuationSeparator" w:id="0">
    <w:p w:rsidR="0053261A" w:rsidRDefault="0053261A" w:rsidP="0053261A">
      <w:r>
        <w:continuationSeparator/>
      </w:r>
    </w:p>
  </w:footnote>
  <w:footnote w:id="1">
    <w:p w:rsidR="0053261A" w:rsidRPr="009662C3" w:rsidRDefault="0053261A" w:rsidP="0053261A">
      <w:pPr>
        <w:pStyle w:val="FootnoteText"/>
        <w:spacing w:line="240" w:lineRule="auto"/>
        <w:rPr>
          <w:rFonts w:asciiTheme="minorHAnsi" w:hAnsiTheme="minorHAnsi" w:cstheme="minorHAnsi"/>
          <w:sz w:val="22"/>
          <w:szCs w:val="22"/>
        </w:rPr>
      </w:pPr>
      <w:r w:rsidRPr="009662C3">
        <w:rPr>
          <w:rStyle w:val="FootnoteReference"/>
          <w:rFonts w:asciiTheme="minorHAnsi" w:hAnsiTheme="minorHAnsi" w:cstheme="minorHAnsi"/>
          <w:sz w:val="22"/>
          <w:szCs w:val="22"/>
        </w:rPr>
        <w:footnoteRef/>
      </w:r>
      <w:r w:rsidRPr="009662C3">
        <w:rPr>
          <w:rFonts w:asciiTheme="minorHAnsi" w:hAnsiTheme="minorHAnsi" w:cstheme="minorHAnsi"/>
          <w:sz w:val="22"/>
          <w:szCs w:val="22"/>
        </w:rPr>
        <w:t xml:space="preserve"> 42 U.S.C. § 7414(a</w:t>
      </w:r>
      <w:proofErr w:type="gramStart"/>
      <w:r w:rsidRPr="009662C3">
        <w:rPr>
          <w:rFonts w:asciiTheme="minorHAnsi" w:hAnsiTheme="minorHAnsi" w:cstheme="minorHAnsi"/>
          <w:sz w:val="22"/>
          <w:szCs w:val="22"/>
        </w:rPr>
        <w:t>)(</w:t>
      </w:r>
      <w:proofErr w:type="gramEnd"/>
      <w:r w:rsidRPr="009662C3">
        <w:rPr>
          <w:rFonts w:asciiTheme="minorHAnsi" w:hAnsiTheme="minorHAnsi" w:cstheme="minorHAnsi"/>
          <w:sz w:val="22"/>
          <w:szCs w:val="22"/>
        </w:rPr>
        <w:t>iii).</w:t>
      </w:r>
    </w:p>
  </w:footnote>
  <w:footnote w:id="2">
    <w:p w:rsidR="0053261A" w:rsidRPr="009662C3" w:rsidRDefault="0053261A" w:rsidP="0053261A">
      <w:pPr>
        <w:pStyle w:val="FootnoteText"/>
        <w:spacing w:line="240" w:lineRule="auto"/>
        <w:rPr>
          <w:rFonts w:asciiTheme="minorHAnsi" w:hAnsiTheme="minorHAnsi" w:cstheme="minorHAnsi"/>
          <w:sz w:val="22"/>
          <w:szCs w:val="22"/>
        </w:rPr>
      </w:pPr>
      <w:r w:rsidRPr="009662C3">
        <w:rPr>
          <w:rStyle w:val="FootnoteReference"/>
          <w:rFonts w:asciiTheme="minorHAnsi" w:hAnsiTheme="minorHAnsi" w:cstheme="minorHAnsi"/>
          <w:sz w:val="22"/>
          <w:szCs w:val="22"/>
        </w:rPr>
        <w:footnoteRef/>
      </w:r>
      <w:r w:rsidRPr="009662C3">
        <w:rPr>
          <w:rFonts w:asciiTheme="minorHAnsi" w:hAnsiTheme="minorHAnsi" w:cstheme="minorHAnsi"/>
          <w:sz w:val="22"/>
          <w:szCs w:val="22"/>
        </w:rPr>
        <w:t xml:space="preserve"> Cal. Health and Safety Code</w:t>
      </w:r>
      <w:r w:rsidR="006E6DC5">
        <w:rPr>
          <w:rFonts w:asciiTheme="minorHAnsi" w:hAnsiTheme="minorHAnsi" w:cstheme="minorHAnsi"/>
          <w:sz w:val="22"/>
          <w:szCs w:val="22"/>
        </w:rPr>
        <w:t xml:space="preserve"> §</w:t>
      </w:r>
      <w:r w:rsidRPr="009662C3">
        <w:rPr>
          <w:rFonts w:asciiTheme="minorHAnsi" w:hAnsiTheme="minorHAnsi" w:cstheme="minorHAnsi"/>
          <w:sz w:val="22"/>
          <w:szCs w:val="22"/>
        </w:rPr>
        <w:t xml:space="preserve"> 39607 (amended by Assembly Bill 2195, Chap. 371, Stats. 2018).</w:t>
      </w:r>
    </w:p>
  </w:footnote>
  <w:footnote w:id="3">
    <w:p w:rsidR="0013715B" w:rsidRPr="009662C3" w:rsidRDefault="0013715B">
      <w:pPr>
        <w:pStyle w:val="FootnoteText"/>
        <w:rPr>
          <w:rFonts w:asciiTheme="minorHAnsi" w:hAnsiTheme="minorHAnsi" w:cstheme="minorHAnsi"/>
          <w:sz w:val="22"/>
          <w:szCs w:val="22"/>
        </w:rPr>
      </w:pPr>
      <w:r w:rsidRPr="009662C3">
        <w:rPr>
          <w:rStyle w:val="FootnoteReference"/>
          <w:rFonts w:asciiTheme="minorHAnsi" w:hAnsiTheme="minorHAnsi" w:cstheme="minorHAnsi"/>
          <w:sz w:val="22"/>
          <w:szCs w:val="22"/>
        </w:rPr>
        <w:footnoteRef/>
      </w:r>
      <w:r w:rsidRPr="009662C3">
        <w:rPr>
          <w:rFonts w:asciiTheme="minorHAnsi" w:hAnsiTheme="minorHAnsi" w:cstheme="minorHAnsi"/>
          <w:sz w:val="22"/>
          <w:szCs w:val="22"/>
        </w:rPr>
        <w:t xml:space="preserve"> </w:t>
      </w:r>
      <w:r w:rsidRPr="009662C3">
        <w:rPr>
          <w:rFonts w:asciiTheme="minorHAnsi" w:eastAsia="Times New Roman" w:hAnsiTheme="minorHAnsi" w:cstheme="minorHAnsi"/>
          <w:sz w:val="22"/>
          <w:szCs w:val="22"/>
        </w:rPr>
        <w:t>40 C</w:t>
      </w:r>
      <w:r w:rsidR="006E6DC5">
        <w:rPr>
          <w:rFonts w:asciiTheme="minorHAnsi" w:eastAsia="Times New Roman" w:hAnsiTheme="minorHAnsi" w:cstheme="minorHAnsi"/>
          <w:sz w:val="22"/>
          <w:szCs w:val="22"/>
        </w:rPr>
        <w:t>.</w:t>
      </w:r>
      <w:r w:rsidRPr="009662C3">
        <w:rPr>
          <w:rFonts w:asciiTheme="minorHAnsi" w:eastAsia="Times New Roman" w:hAnsiTheme="minorHAnsi" w:cstheme="minorHAnsi"/>
          <w:sz w:val="22"/>
          <w:szCs w:val="22"/>
        </w:rPr>
        <w:t>F</w:t>
      </w:r>
      <w:r w:rsidR="006E6DC5">
        <w:rPr>
          <w:rFonts w:asciiTheme="minorHAnsi" w:eastAsia="Times New Roman" w:hAnsiTheme="minorHAnsi" w:cstheme="minorHAnsi"/>
          <w:sz w:val="22"/>
          <w:szCs w:val="22"/>
        </w:rPr>
        <w:t>.</w:t>
      </w:r>
      <w:r w:rsidRPr="009662C3">
        <w:rPr>
          <w:rFonts w:asciiTheme="minorHAnsi" w:eastAsia="Times New Roman" w:hAnsiTheme="minorHAnsi" w:cstheme="minorHAnsi"/>
          <w:sz w:val="22"/>
          <w:szCs w:val="22"/>
        </w:rPr>
        <w:t>R</w:t>
      </w:r>
      <w:r w:rsidR="006E6DC5">
        <w:rPr>
          <w:rFonts w:asciiTheme="minorHAnsi" w:eastAsia="Times New Roman" w:hAnsiTheme="minorHAnsi" w:cstheme="minorHAnsi"/>
          <w:sz w:val="22"/>
          <w:szCs w:val="22"/>
        </w:rPr>
        <w:t>.</w:t>
      </w:r>
      <w:r w:rsidRPr="009662C3">
        <w:rPr>
          <w:rFonts w:asciiTheme="minorHAnsi" w:eastAsia="Times New Roman" w:hAnsiTheme="minorHAnsi" w:cstheme="minorHAnsi"/>
          <w:sz w:val="22"/>
          <w:szCs w:val="22"/>
        </w:rPr>
        <w:t xml:space="preserve"> Part 98 Subpart W, Petroleum and Natural Gas Systems.</w:t>
      </w:r>
    </w:p>
  </w:footnote>
  <w:footnote w:id="4">
    <w:p w:rsidR="0013715B" w:rsidRPr="009662C3" w:rsidRDefault="0013715B">
      <w:pPr>
        <w:pStyle w:val="FootnoteText"/>
        <w:rPr>
          <w:rFonts w:asciiTheme="minorHAnsi" w:hAnsiTheme="minorHAnsi" w:cstheme="minorHAnsi"/>
          <w:sz w:val="22"/>
          <w:szCs w:val="22"/>
        </w:rPr>
      </w:pPr>
      <w:r w:rsidRPr="009662C3">
        <w:rPr>
          <w:rStyle w:val="FootnoteReference"/>
          <w:rFonts w:asciiTheme="minorHAnsi" w:hAnsiTheme="minorHAnsi" w:cstheme="minorHAnsi"/>
          <w:sz w:val="22"/>
          <w:szCs w:val="22"/>
        </w:rPr>
        <w:footnoteRef/>
      </w:r>
      <w:r w:rsidRPr="009662C3">
        <w:rPr>
          <w:rFonts w:asciiTheme="minorHAnsi" w:hAnsiTheme="minorHAnsi" w:cstheme="minorHAnsi"/>
          <w:sz w:val="22"/>
          <w:szCs w:val="22"/>
        </w:rPr>
        <w:t xml:space="preserve"> 17 Cal. Code Regs. §§ 95665-95677.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C3F8D"/>
    <w:multiLevelType w:val="hybridMultilevel"/>
    <w:tmpl w:val="2DBE479C"/>
    <w:lvl w:ilvl="0" w:tplc="488ED364">
      <w:start w:val="85"/>
      <w:numFmt w:val="bullet"/>
      <w:lvlText w:val="-"/>
      <w:lvlJc w:val="left"/>
      <w:pPr>
        <w:ind w:left="720" w:hanging="360"/>
      </w:pPr>
      <w:rPr>
        <w:rFonts w:ascii="Avenir LT Std 55 Roman" w:eastAsia="Times New Roman" w:hAnsi="Avenir LT Std 55 Roman"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3177D"/>
    <w:multiLevelType w:val="multilevel"/>
    <w:tmpl w:val="94785D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C52"/>
    <w:rsid w:val="000B4C52"/>
    <w:rsid w:val="0013715B"/>
    <w:rsid w:val="002F6F53"/>
    <w:rsid w:val="00380D92"/>
    <w:rsid w:val="004B02DB"/>
    <w:rsid w:val="0053261A"/>
    <w:rsid w:val="005F480F"/>
    <w:rsid w:val="006E6DC5"/>
    <w:rsid w:val="007C0600"/>
    <w:rsid w:val="0091228B"/>
    <w:rsid w:val="009662C3"/>
    <w:rsid w:val="009D1A82"/>
    <w:rsid w:val="00A20482"/>
    <w:rsid w:val="00CB3935"/>
    <w:rsid w:val="00DA6BDB"/>
    <w:rsid w:val="00E5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5869"/>
  <w15:chartTrackingRefBased/>
  <w15:docId w15:val="{8B34E354-28F0-4ECC-AB8F-AF5E18045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C52"/>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53261A"/>
    <w:pPr>
      <w:keepNext/>
      <w:spacing w:before="360" w:after="240"/>
      <w:outlineLvl w:val="0"/>
    </w:pPr>
    <w:rPr>
      <w:rFonts w:ascii="Avenir LT Std 55 Roman" w:eastAsiaTheme="majorEastAsia" w:hAnsi="Avenir LT Std 55 Roman" w:cstheme="majorBidi"/>
      <w:b/>
      <w:color w:val="44546A" w:themeColor="text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4C52"/>
    <w:rPr>
      <w:color w:val="0000FF"/>
      <w:u w:val="single"/>
    </w:rPr>
  </w:style>
  <w:style w:type="paragraph" w:styleId="NormalWeb">
    <w:name w:val="Normal (Web)"/>
    <w:basedOn w:val="Normal"/>
    <w:uiPriority w:val="99"/>
    <w:semiHidden/>
    <w:unhideWhenUsed/>
    <w:rsid w:val="000B4C52"/>
  </w:style>
  <w:style w:type="paragraph" w:customStyle="1" w:styleId="xmsonormal">
    <w:name w:val="x_msonormal"/>
    <w:basedOn w:val="Normal"/>
    <w:rsid w:val="000B4C52"/>
  </w:style>
  <w:style w:type="character" w:customStyle="1" w:styleId="Heading1Char">
    <w:name w:val="Heading 1 Char"/>
    <w:basedOn w:val="DefaultParagraphFont"/>
    <w:link w:val="Heading1"/>
    <w:uiPriority w:val="9"/>
    <w:rsid w:val="0053261A"/>
    <w:rPr>
      <w:rFonts w:ascii="Avenir LT Std 55 Roman" w:eastAsiaTheme="majorEastAsia" w:hAnsi="Avenir LT Std 55 Roman" w:cstheme="majorBidi"/>
      <w:b/>
      <w:color w:val="44546A" w:themeColor="text2"/>
      <w:sz w:val="24"/>
      <w:szCs w:val="32"/>
    </w:rPr>
  </w:style>
  <w:style w:type="paragraph" w:styleId="FootnoteText">
    <w:name w:val="footnote text"/>
    <w:aliases w:val="Char Char,Char Char Char Char,Char, Char Char, Char Char Char Char, Char,Char1,Char11,Style 14,Style 18,Style 10,Footnote Text Char Char,ft Char,Footnote Text Char2 Char,Footnote Text Char Char1 Char,Footnote Text Char1 Char Char Char,f"/>
    <w:basedOn w:val="Normal"/>
    <w:link w:val="FootnoteTextChar"/>
    <w:uiPriority w:val="99"/>
    <w:unhideWhenUsed/>
    <w:qFormat/>
    <w:rsid w:val="0053261A"/>
    <w:pPr>
      <w:spacing w:line="259" w:lineRule="auto"/>
    </w:pPr>
    <w:rPr>
      <w:rFonts w:ascii="Avenir LT Std 55 Roman" w:hAnsi="Avenir LT Std 55 Roman" w:cstheme="minorBidi"/>
      <w:sz w:val="20"/>
      <w:szCs w:val="20"/>
    </w:rPr>
  </w:style>
  <w:style w:type="character" w:customStyle="1" w:styleId="FootnoteTextChar">
    <w:name w:val="Footnote Text Char"/>
    <w:aliases w:val="Char Char Char,Char Char Char Char Char,Char Char1, Char Char Char, Char Char Char Char Char, Char Char1,Char1 Char,Char11 Char,Style 14 Char,Style 18 Char,Style 10 Char,Footnote Text Char Char Char,ft Char Char,f Char"/>
    <w:basedOn w:val="DefaultParagraphFont"/>
    <w:link w:val="FootnoteText"/>
    <w:uiPriority w:val="99"/>
    <w:rsid w:val="0053261A"/>
    <w:rPr>
      <w:rFonts w:ascii="Avenir LT Std 55 Roman" w:hAnsi="Avenir LT Std 55 Roman"/>
      <w:sz w:val="20"/>
      <w:szCs w:val="20"/>
    </w:rPr>
  </w:style>
  <w:style w:type="character" w:styleId="FootnoteReference">
    <w:name w:val="footnote reference"/>
    <w:aliases w:val="o,fr,o1,o2,o3,o4,o5,o6,o11,o21,o7,0 PIER Footnote Reference,Style 3,o + Times New Roman,0 PIER Footnote Text,Footnote Reference Anglo,FR,(NECG) Footnote Reference,Style 13,Style 12,Style 15,Style 17,Style 9,fr1,fr2,fr3,Style 20"/>
    <w:basedOn w:val="DefaultParagraphFont"/>
    <w:uiPriority w:val="99"/>
    <w:unhideWhenUsed/>
    <w:qFormat/>
    <w:rsid w:val="0053261A"/>
    <w:rPr>
      <w:rFonts w:ascii="Avenir LT Std 55 Roman" w:hAnsi="Avenir LT Std 55 Roman"/>
      <w:b w:val="0"/>
      <w:i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03697">
      <w:bodyDiv w:val="1"/>
      <w:marLeft w:val="0"/>
      <w:marRight w:val="0"/>
      <w:marTop w:val="0"/>
      <w:marBottom w:val="0"/>
      <w:divBdr>
        <w:top w:val="none" w:sz="0" w:space="0" w:color="auto"/>
        <w:left w:val="none" w:sz="0" w:space="0" w:color="auto"/>
        <w:bottom w:val="none" w:sz="0" w:space="0" w:color="auto"/>
        <w:right w:val="none" w:sz="0" w:space="0" w:color="auto"/>
      </w:divBdr>
    </w:div>
    <w:div w:id="206428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EB56A-1369-4E4F-B397-1A5476969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Jessica@ARB</dc:creator>
  <cp:keywords/>
  <dc:description/>
  <cp:lastModifiedBy>Gordon, Jessica@ARB</cp:lastModifiedBy>
  <cp:revision>10</cp:revision>
  <dcterms:created xsi:type="dcterms:W3CDTF">2020-07-08T17:45:00Z</dcterms:created>
  <dcterms:modified xsi:type="dcterms:W3CDTF">2020-07-08T19:01:00Z</dcterms:modified>
</cp:coreProperties>
</file>